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943BC">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8：</w:t>
      </w:r>
    </w:p>
    <w:p w14:paraId="1AFD20D5">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“海洋生态环境的遥感大数据智能预报”</w:t>
      </w:r>
      <w:r>
        <w:rPr>
          <w:rFonts w:hint="default" w:ascii="Times New Roman" w:hAnsi="Times New Roman" w:eastAsia="方正小标宋简体"/>
          <w:b w:val="0"/>
          <w:bCs w:val="0"/>
          <w:sz w:val="44"/>
          <w:szCs w:val="32"/>
        </w:rPr>
        <w:t>比赛方案</w:t>
      </w:r>
    </w:p>
    <w:p w14:paraId="7BE15BB3">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（自然资源部第二海洋研究所）</w:t>
      </w:r>
    </w:p>
    <w:p w14:paraId="7AA7EA58">
      <w:pPr>
        <w:pStyle w:val="3"/>
        <w:rPr>
          <w:rFonts w:hint="eastAsia"/>
        </w:rPr>
      </w:pPr>
    </w:p>
    <w:p w14:paraId="6960D5CD">
      <w:pPr>
        <w:pStyle w:val="3"/>
        <w:rPr>
          <w:rFonts w:hint="eastAsia"/>
        </w:rPr>
      </w:pPr>
      <w:r>
        <w:rPr>
          <w:rFonts w:hint="eastAsia"/>
        </w:rPr>
        <w:t>一、出题</w:t>
      </w:r>
      <w:r>
        <w:t>单位</w:t>
      </w:r>
    </w:p>
    <w:p w14:paraId="42F70BD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自然资源部第二海洋研究所</w:t>
      </w:r>
    </w:p>
    <w:p w14:paraId="1A8D0B73">
      <w:pPr>
        <w:pStyle w:val="3"/>
        <w:rPr>
          <w:rFonts w:hint="eastAsia"/>
        </w:rPr>
      </w:pPr>
      <w:r>
        <w:rPr>
          <w:rFonts w:hint="eastAsia"/>
        </w:rPr>
        <w:t>二、</w:t>
      </w:r>
      <w:r>
        <w:t>题目名称</w:t>
      </w:r>
    </w:p>
    <w:p w14:paraId="2FFCE8E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海洋生态环境</w:t>
      </w:r>
      <w:r>
        <w:rPr>
          <w:rFonts w:hint="eastAsia" w:eastAsia="仿宋_GB2312" w:cs="仿宋_GB2312"/>
          <w:color w:val="000000" w:themeColor="text1"/>
          <w:sz w:val="32"/>
          <w:szCs w:val="32"/>
          <w:lang w:val="en-US"/>
          <w14:textFill>
            <w14:solidFill>
              <w14:schemeClr w14:val="tx1"/>
            </w14:solidFill>
          </w14:textFill>
        </w:rPr>
        <w:t>的</w:t>
      </w:r>
      <w:r>
        <w:rPr>
          <w:rFonts w:eastAsia="仿宋_GB2312" w:cs="仿宋_GB2312"/>
          <w:color w:val="000000" w:themeColor="text1"/>
          <w:sz w:val="32"/>
          <w:szCs w:val="32"/>
          <w:lang w:val="en-US"/>
          <w14:textFill>
            <w14:solidFill>
              <w14:schemeClr w14:val="tx1"/>
            </w14:solidFill>
          </w14:textFill>
        </w:rPr>
        <w:t>遥感大数据</w:t>
      </w:r>
      <w:r>
        <w:rPr>
          <w:rFonts w:hint="eastAsia" w:eastAsia="仿宋_GB2312" w:cs="仿宋_GB2312"/>
          <w:color w:val="000000" w:themeColor="text1"/>
          <w:sz w:val="32"/>
          <w:szCs w:val="32"/>
          <w:lang w:val="en-US"/>
          <w14:textFill>
            <w14:solidFill>
              <w14:schemeClr w14:val="tx1"/>
            </w14:solidFill>
          </w14:textFill>
        </w:rPr>
        <w:t>智能</w:t>
      </w:r>
      <w:r>
        <w:rPr>
          <w:rFonts w:eastAsia="仿宋_GB2312" w:cs="仿宋_GB2312"/>
          <w:color w:val="000000" w:themeColor="text1"/>
          <w:sz w:val="32"/>
          <w:szCs w:val="32"/>
          <w:lang w:val="en-US"/>
          <w14:textFill>
            <w14:solidFill>
              <w14:schemeClr w14:val="tx1"/>
            </w14:solidFill>
          </w14:textFill>
        </w:rPr>
        <w:t>预报</w:t>
      </w:r>
    </w:p>
    <w:p w14:paraId="1480EE78">
      <w:pPr>
        <w:pStyle w:val="3"/>
        <w:rPr>
          <w:rFonts w:hint="eastAsia"/>
        </w:rPr>
      </w:pPr>
      <w:r>
        <w:rPr>
          <w:rFonts w:hint="eastAsia"/>
        </w:rPr>
        <w:t>三、题目介绍</w:t>
      </w:r>
    </w:p>
    <w:p w14:paraId="31493CA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海洋生态系统受物理、化学、生物等多过程及环境要素的共同调控，传统的数值模式预报难以对这些非线性复杂过程进行准确模拟，导致预报精度受限。近四十年来，随着海洋卫星观测技术的快速发展，已经积累了海量的全球海洋环境要素观测资料，如海表温度、叶绿素浓度、初级生产力、风场、有效波高、地转流等。这些卫星观测资料不仅具有高时空分辨率、长时序的优势，更为关键的是能够指示海洋生态系统内多种过程的动态变化特征。因此，如何基于海洋遥感大数据进行时空数据挖掘、知识发现以及智能预报，已成为当前遥感领域的前沿热点。</w:t>
      </w:r>
    </w:p>
    <w:p w14:paraId="61A96C7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随着人工智能技术的发展，其展现的强大非线性学习和拟合能力可以有效地利用海洋大数据中固有的时空属性，提高对海洋生态环境变化预报的准确性和时效性。基于遥感大数据，利用人工智能技术，可从海量观测数据中提取特征，捕捉海洋生态系统内多元变量之间的非线性耦合关系，从而实现对关键生态环境参数的精准预报。总之，将人工智能技术与海洋遥感大数据相结合，不仅可以优化数据处理流程，提高预报准确性，更重要的是有助于深入认识海洋生态环境变化，从而为解决海洋科学中的关键问题和推动该领域发展提供重要机遇。</w:t>
      </w:r>
    </w:p>
    <w:p w14:paraId="3BB33D9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本题目要求</w:t>
      </w:r>
      <w:r>
        <w:rPr>
          <w:rFonts w:eastAsia="仿宋_GB2312" w:cs="仿宋_GB2312"/>
          <w:color w:val="000000" w:themeColor="text1"/>
          <w:sz w:val="32"/>
          <w:szCs w:val="32"/>
          <w:lang w:val="en-US"/>
          <w14:textFill>
            <w14:solidFill>
              <w14:schemeClr w14:val="tx1"/>
            </w14:solidFill>
          </w14:textFill>
        </w:rPr>
        <w:t>围绕</w:t>
      </w:r>
      <w:r>
        <w:rPr>
          <w:rFonts w:hint="eastAsia" w:eastAsia="仿宋_GB2312" w:cs="仿宋_GB2312"/>
          <w:color w:val="000000" w:themeColor="text1"/>
          <w:sz w:val="32"/>
          <w:szCs w:val="32"/>
          <w:lang w:val="en-US"/>
          <w14:textFill>
            <w14:solidFill>
              <w14:schemeClr w14:val="tx1"/>
            </w14:solidFill>
          </w14:textFill>
        </w:rPr>
        <w:t>基于卫星遥感大数据的</w:t>
      </w:r>
      <w:r>
        <w:rPr>
          <w:rFonts w:eastAsia="仿宋_GB2312" w:cs="仿宋_GB2312"/>
          <w:color w:val="000000" w:themeColor="text1"/>
          <w:sz w:val="32"/>
          <w:szCs w:val="32"/>
          <w:lang w:val="en-US"/>
          <w14:textFill>
            <w14:solidFill>
              <w14:schemeClr w14:val="tx1"/>
            </w14:solidFill>
          </w14:textFill>
        </w:rPr>
        <w:t>海洋生态资源与环境</w:t>
      </w:r>
      <w:r>
        <w:rPr>
          <w:rFonts w:hint="eastAsia" w:eastAsia="仿宋_GB2312" w:cs="仿宋_GB2312"/>
          <w:color w:val="000000" w:themeColor="text1"/>
          <w:sz w:val="32"/>
          <w:szCs w:val="32"/>
          <w:lang w:val="en-US"/>
          <w14:textFill>
            <w14:solidFill>
              <w14:schemeClr w14:val="tx1"/>
            </w14:solidFill>
          </w14:textFill>
        </w:rPr>
        <w:t>要素智能预测</w:t>
      </w:r>
      <w:r>
        <w:rPr>
          <w:rFonts w:eastAsia="仿宋_GB2312" w:cs="仿宋_GB2312"/>
          <w:color w:val="000000" w:themeColor="text1"/>
          <w:sz w:val="32"/>
          <w:szCs w:val="32"/>
          <w:lang w:val="en-US"/>
          <w14:textFill>
            <w14:solidFill>
              <w14:schemeClr w14:val="tx1"/>
            </w14:solidFill>
          </w14:textFill>
        </w:rPr>
        <w:t>预报</w:t>
      </w:r>
      <w:r>
        <w:rPr>
          <w:rFonts w:hint="eastAsia" w:eastAsia="仿宋_GB2312" w:cs="仿宋_GB2312"/>
          <w:color w:val="000000" w:themeColor="text1"/>
          <w:sz w:val="32"/>
          <w:szCs w:val="32"/>
          <w:lang w:val="en-US"/>
          <w14:textFill>
            <w14:solidFill>
              <w14:schemeClr w14:val="tx1"/>
            </w14:solidFill>
          </w14:textFill>
        </w:rPr>
        <w:t>这一主题</w:t>
      </w:r>
      <w:r>
        <w:rPr>
          <w:rFonts w:eastAsia="仿宋_GB2312" w:cs="仿宋_GB2312"/>
          <w:color w:val="000000" w:themeColor="text1"/>
          <w:sz w:val="32"/>
          <w:szCs w:val="32"/>
          <w:lang w:val="en-US"/>
          <w14:textFill>
            <w14:solidFill>
              <w14:schemeClr w14:val="tx1"/>
            </w14:solidFill>
          </w14:textFill>
        </w:rPr>
        <w:t>，选择典型预报参数和应用场景，利用多源</w:t>
      </w:r>
      <w:r>
        <w:rPr>
          <w:rFonts w:hint="eastAsia" w:eastAsia="仿宋_GB2312" w:cs="仿宋_GB2312"/>
          <w:color w:val="000000" w:themeColor="text1"/>
          <w:sz w:val="32"/>
          <w:szCs w:val="32"/>
          <w:lang w:val="en-US"/>
          <w14:textFill>
            <w14:solidFill>
              <w14:schemeClr w14:val="tx1"/>
            </w14:solidFill>
          </w14:textFill>
        </w:rPr>
        <w:t>卫星</w:t>
      </w:r>
      <w:r>
        <w:rPr>
          <w:rFonts w:eastAsia="仿宋_GB2312" w:cs="仿宋_GB2312"/>
          <w:color w:val="000000" w:themeColor="text1"/>
          <w:sz w:val="32"/>
          <w:szCs w:val="32"/>
          <w:lang w:val="en-US"/>
          <w14:textFill>
            <w14:solidFill>
              <w14:schemeClr w14:val="tx1"/>
            </w14:solidFill>
          </w14:textFill>
        </w:rPr>
        <w:t>遥感数据，构建基于人工智能和大数据技术的海洋生态环境要素智能预报模型，并研发相应的演示软件。</w:t>
      </w:r>
    </w:p>
    <w:p w14:paraId="664DB4D2">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（一）需要设定具体应用场景和预报目标参数。</w:t>
      </w:r>
    </w:p>
    <w:p w14:paraId="4E1ED1A0">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（二）预报模型必须以长时序遥感大数据输入为核心。可结合现场观测资料、再分析资料、气象或海洋预报数据等多源数据，但辅助数据不是比赛评比中必需的。</w:t>
      </w:r>
    </w:p>
    <w:p w14:paraId="0F5CD233">
      <w:pPr>
        <w:pStyle w:val="3"/>
        <w:rPr>
          <w:rFonts w:hint="eastAsia"/>
        </w:rPr>
      </w:pPr>
      <w:r>
        <w:rPr>
          <w:rFonts w:hint="eastAsia"/>
        </w:rPr>
        <w:t>四、参赛对象</w:t>
      </w:r>
    </w:p>
    <w:p w14:paraId="543ED8DD">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A1284B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037AC9B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899F5E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657C93F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34EE8418">
      <w:pPr>
        <w:pStyle w:val="3"/>
        <w:rPr>
          <w:rFonts w:hint="eastAsia"/>
        </w:rPr>
      </w:pPr>
      <w:r>
        <w:rPr>
          <w:rFonts w:hint="eastAsia"/>
        </w:rPr>
        <w:t>五、答题要求</w:t>
      </w:r>
    </w:p>
    <w:p w14:paraId="3D4E6E5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各参赛队伍需以材料文档、演示系统形式提交作品。</w:t>
      </w:r>
    </w:p>
    <w:p w14:paraId="04EC402D">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材料文档：内容包括但不限于</w:t>
      </w:r>
      <w:r>
        <w:rPr>
          <w:rFonts w:hint="eastAsia" w:eastAsia="仿宋_GB2312" w:cs="仿宋_GB2312"/>
          <w:color w:val="000000" w:themeColor="text1"/>
          <w:sz w:val="32"/>
          <w:szCs w:val="32"/>
          <w:lang w:val="en-US"/>
          <w14:textFill>
            <w14:solidFill>
              <w14:schemeClr w14:val="tx1"/>
            </w14:solidFill>
          </w14:textFill>
        </w:rPr>
        <w:t>预报模型</w:t>
      </w:r>
      <w:r>
        <w:rPr>
          <w:rFonts w:eastAsia="仿宋_GB2312" w:cs="仿宋_GB2312"/>
          <w:color w:val="000000" w:themeColor="text1"/>
          <w:sz w:val="32"/>
          <w:szCs w:val="32"/>
          <w:lang w:val="en-US"/>
          <w14:textFill>
            <w14:solidFill>
              <w14:schemeClr w14:val="tx1"/>
            </w14:solidFill>
          </w14:textFill>
        </w:rPr>
        <w:t>设计</w:t>
      </w:r>
      <w:r>
        <w:rPr>
          <w:rFonts w:hint="eastAsia" w:eastAsia="仿宋_GB2312" w:cs="仿宋_GB2312"/>
          <w:color w:val="000000" w:themeColor="text1"/>
          <w:sz w:val="32"/>
          <w:szCs w:val="32"/>
          <w:lang w:val="en-US"/>
          <w14:textFill>
            <w14:solidFill>
              <w14:schemeClr w14:val="tx1"/>
            </w14:solidFill>
          </w14:textFill>
        </w:rPr>
        <w:t>报告</w:t>
      </w:r>
      <w:r>
        <w:rPr>
          <w:rFonts w:eastAsia="仿宋_GB2312" w:cs="仿宋_GB2312"/>
          <w:color w:val="000000" w:themeColor="text1"/>
          <w:sz w:val="32"/>
          <w:szCs w:val="32"/>
          <w:lang w:val="en-US"/>
          <w14:textFill>
            <w14:solidFill>
              <w14:schemeClr w14:val="tx1"/>
            </w14:solidFill>
          </w14:textFill>
        </w:rPr>
        <w:t>、验证报告、</w:t>
      </w:r>
      <w:r>
        <w:rPr>
          <w:rFonts w:hint="eastAsia" w:eastAsia="仿宋_GB2312" w:cs="仿宋_GB2312"/>
          <w:color w:val="000000" w:themeColor="text1"/>
          <w:sz w:val="32"/>
          <w:szCs w:val="32"/>
          <w:lang w:val="en-US"/>
          <w14:textFill>
            <w14:solidFill>
              <w14:schemeClr w14:val="tx1"/>
            </w14:solidFill>
          </w14:textFill>
        </w:rPr>
        <w:t>软件</w:t>
      </w:r>
      <w:r>
        <w:rPr>
          <w:rFonts w:eastAsia="仿宋_GB2312" w:cs="仿宋_GB2312"/>
          <w:color w:val="000000" w:themeColor="text1"/>
          <w:sz w:val="32"/>
          <w:szCs w:val="32"/>
          <w:lang w:val="en-US"/>
          <w14:textFill>
            <w14:solidFill>
              <w14:schemeClr w14:val="tx1"/>
            </w14:solidFill>
          </w14:textFill>
        </w:rPr>
        <w:t>代码等。</w:t>
      </w:r>
    </w:p>
    <w:p w14:paraId="7666AAC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演示系统：需要有</w:t>
      </w:r>
      <w:r>
        <w:rPr>
          <w:rFonts w:hint="eastAsia" w:eastAsia="仿宋_GB2312" w:cs="仿宋_GB2312"/>
          <w:color w:val="000000" w:themeColor="text1"/>
          <w:sz w:val="32"/>
          <w:szCs w:val="32"/>
          <w:lang w:val="en-US"/>
          <w14:textFill>
            <w14:solidFill>
              <w14:schemeClr w14:val="tx1"/>
            </w14:solidFill>
          </w14:textFill>
        </w:rPr>
        <w:t>可安装运行</w:t>
      </w:r>
      <w:r>
        <w:rPr>
          <w:rFonts w:eastAsia="仿宋_GB2312" w:cs="仿宋_GB2312"/>
          <w:color w:val="000000" w:themeColor="text1"/>
          <w:sz w:val="32"/>
          <w:szCs w:val="32"/>
          <w:lang w:val="en-US"/>
          <w14:textFill>
            <w14:solidFill>
              <w14:schemeClr w14:val="tx1"/>
            </w14:solidFill>
          </w14:textFill>
        </w:rPr>
        <w:t>的执行程序，覆盖验证报告中涉及的全部样例的输入数据和输出结果</w:t>
      </w:r>
      <w:r>
        <w:rPr>
          <w:rFonts w:hint="eastAsia" w:eastAsia="仿宋_GB2312" w:cs="仿宋_GB2312"/>
          <w:color w:val="000000" w:themeColor="text1"/>
          <w:sz w:val="32"/>
          <w:szCs w:val="32"/>
          <w:lang w:val="en-US"/>
          <w14:textFill>
            <w14:solidFill>
              <w14:schemeClr w14:val="tx1"/>
            </w14:solidFill>
          </w14:textFill>
        </w:rPr>
        <w:t>，以及</w:t>
      </w:r>
      <w:r>
        <w:rPr>
          <w:rFonts w:eastAsia="仿宋_GB2312" w:cs="仿宋_GB2312"/>
          <w:color w:val="000000" w:themeColor="text1"/>
          <w:sz w:val="32"/>
          <w:szCs w:val="32"/>
          <w:lang w:val="en-US"/>
          <w14:textFill>
            <w14:solidFill>
              <w14:schemeClr w14:val="tx1"/>
            </w14:solidFill>
          </w14:textFill>
        </w:rPr>
        <w:t>操作说明文档</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操作说明文档内容包括但不限于演示系统所需的软件、硬件以及安装方法说明</w:t>
      </w:r>
      <w:r>
        <w:rPr>
          <w:rFonts w:hint="eastAsia" w:eastAsia="仿宋_GB2312" w:cs="仿宋_GB2312"/>
          <w:color w:val="000000" w:themeColor="text1"/>
          <w:sz w:val="32"/>
          <w:szCs w:val="32"/>
          <w:lang w:val="en-US"/>
          <w14:textFill>
            <w14:solidFill>
              <w14:schemeClr w14:val="tx1"/>
            </w14:solidFill>
          </w14:textFill>
        </w:rPr>
        <w:t>，典型</w:t>
      </w:r>
      <w:r>
        <w:rPr>
          <w:rFonts w:eastAsia="仿宋_GB2312" w:cs="仿宋_GB2312"/>
          <w:color w:val="000000" w:themeColor="text1"/>
          <w:sz w:val="32"/>
          <w:szCs w:val="32"/>
          <w:lang w:val="en-US"/>
          <w14:textFill>
            <w14:solidFill>
              <w14:schemeClr w14:val="tx1"/>
            </w14:solidFill>
          </w14:textFill>
        </w:rPr>
        <w:t>样例</w:t>
      </w:r>
      <w:r>
        <w:rPr>
          <w:rFonts w:hint="eastAsia" w:eastAsia="仿宋_GB2312" w:cs="仿宋_GB2312"/>
          <w:color w:val="000000" w:themeColor="text1"/>
          <w:sz w:val="32"/>
          <w:szCs w:val="32"/>
          <w:lang w:val="en-US"/>
          <w14:textFill>
            <w14:solidFill>
              <w14:schemeClr w14:val="tx1"/>
            </w14:solidFill>
          </w14:textFill>
        </w:rPr>
        <w:t>详细</w:t>
      </w:r>
      <w:r>
        <w:rPr>
          <w:rFonts w:eastAsia="仿宋_GB2312" w:cs="仿宋_GB2312"/>
          <w:color w:val="000000" w:themeColor="text1"/>
          <w:sz w:val="32"/>
          <w:szCs w:val="32"/>
          <w:lang w:val="en-US"/>
          <w14:textFill>
            <w14:solidFill>
              <w14:schemeClr w14:val="tx1"/>
            </w14:solidFill>
          </w14:textFill>
        </w:rPr>
        <w:t>操作说明等，以确保作品评审时能够顺利完成部署且程序可运行、可检验。</w:t>
      </w:r>
    </w:p>
    <w:p w14:paraId="5BB2897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根据大赛整体时间安排并结合科研攻关的科学规律，8月</w:t>
      </w:r>
      <w:r>
        <w:rPr>
          <w:rFonts w:hint="eastAsia" w:eastAsia="仿宋_GB2312" w:cs="仿宋_GB2312"/>
          <w:color w:val="000000" w:themeColor="text1"/>
          <w:sz w:val="32"/>
          <w:szCs w:val="32"/>
          <w:lang w:val="en-US"/>
          <w14:textFill>
            <w14:solidFill>
              <w14:schemeClr w14:val="tx1"/>
            </w14:solidFill>
          </w14:textFill>
        </w:rPr>
        <w:t>10</w:t>
      </w:r>
      <w:r>
        <w:rPr>
          <w:rFonts w:eastAsia="仿宋_GB2312" w:cs="仿宋_GB2312"/>
          <w:color w:val="000000" w:themeColor="text1"/>
          <w:sz w:val="32"/>
          <w:szCs w:val="32"/>
          <w:lang w:val="en-US"/>
          <w14:textFill>
            <w14:solidFill>
              <w14:schemeClr w14:val="tx1"/>
            </w14:solidFill>
          </w14:textFill>
        </w:rPr>
        <w:t>日前，各参赛团队提交作品。</w:t>
      </w:r>
    </w:p>
    <w:p w14:paraId="6B5110D1">
      <w:pPr>
        <w:pStyle w:val="3"/>
        <w:rPr>
          <w:rFonts w:hint="eastAsia"/>
        </w:rPr>
      </w:pPr>
      <w:r>
        <w:rPr>
          <w:rFonts w:hint="eastAsia"/>
        </w:rPr>
        <w:t>六、作品评选</w:t>
      </w:r>
      <w:r>
        <w:rPr>
          <w:rFonts w:hint="eastAsia" w:ascii="Times New Roman" w:hAnsi="Times New Roman" w:eastAsia="黑体" w:cs="黑体"/>
          <w:color w:val="000000" w:themeColor="text1"/>
          <w:spacing w:val="0"/>
          <w:lang w:val="en-US" w:eastAsia="zh-CN"/>
          <w14:textFill>
            <w14:solidFill>
              <w14:schemeClr w14:val="tx1"/>
            </w14:solidFill>
          </w14:textFill>
        </w:rPr>
        <w:t>参考</w:t>
      </w:r>
      <w:r>
        <w:rPr>
          <w:rFonts w:hint="eastAsia"/>
        </w:rPr>
        <w:t>标准</w:t>
      </w:r>
    </w:p>
    <w:p w14:paraId="1FFF19AA">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 xml:space="preserve">1. </w:t>
      </w:r>
      <w:r>
        <w:rPr>
          <w:rFonts w:eastAsia="仿宋_GB2312" w:cs="仿宋_GB2312"/>
          <w:color w:val="000000"/>
          <w:sz w:val="32"/>
          <w:szCs w:val="32"/>
        </w:rPr>
        <w:t>作品</w:t>
      </w:r>
      <w:r>
        <w:rPr>
          <w:rFonts w:hint="eastAsia" w:eastAsia="仿宋_GB2312" w:cs="仿宋_GB2312"/>
          <w:color w:val="000000"/>
          <w:sz w:val="32"/>
          <w:szCs w:val="32"/>
        </w:rPr>
        <w:t>完成度</w:t>
      </w:r>
      <w:r>
        <w:rPr>
          <w:rFonts w:eastAsia="仿宋_GB2312" w:cs="仿宋_GB2312"/>
          <w:color w:val="000000"/>
          <w:sz w:val="32"/>
          <w:szCs w:val="32"/>
        </w:rPr>
        <w:t>（30分）</w:t>
      </w:r>
    </w:p>
    <w:p w14:paraId="18884C6D">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完成海洋生态环境遥感大数据智能预报</w:t>
      </w:r>
      <w:r>
        <w:rPr>
          <w:rFonts w:hint="eastAsia" w:eastAsia="仿宋_GB2312" w:cs="仿宋_GB2312"/>
          <w:color w:val="000000"/>
          <w:sz w:val="32"/>
          <w:szCs w:val="32"/>
        </w:rPr>
        <w:t>模型构建，针对特定场景，实现海洋生态参数的预报；提交材料文档完整清晰</w:t>
      </w:r>
      <w:r>
        <w:rPr>
          <w:rFonts w:eastAsia="仿宋_GB2312" w:cs="仿宋_GB2312"/>
          <w:color w:val="000000"/>
          <w:sz w:val="32"/>
          <w:szCs w:val="32"/>
        </w:rPr>
        <w:t>。</w:t>
      </w:r>
    </w:p>
    <w:p w14:paraId="3FE8B7E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 xml:space="preserve">2. </w:t>
      </w:r>
      <w:r>
        <w:rPr>
          <w:rFonts w:eastAsia="仿宋_GB2312" w:cs="仿宋_GB2312"/>
          <w:color w:val="000000"/>
          <w:sz w:val="32"/>
          <w:szCs w:val="32"/>
        </w:rPr>
        <w:t>作品创新性（40分）</w:t>
      </w:r>
    </w:p>
    <w:p w14:paraId="5DE31B1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选择的应用场景需要</w:t>
      </w:r>
      <w:r>
        <w:rPr>
          <w:rFonts w:eastAsia="仿宋_GB2312" w:cs="仿宋_GB2312"/>
          <w:color w:val="000000"/>
          <w:sz w:val="32"/>
          <w:szCs w:val="32"/>
        </w:rPr>
        <w:t xml:space="preserve">具有创新性和可行性。 </w:t>
      </w:r>
    </w:p>
    <w:p w14:paraId="6C940259">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 预报精度</w:t>
      </w:r>
      <w:r>
        <w:rPr>
          <w:rFonts w:eastAsia="仿宋_GB2312" w:cs="仿宋_GB2312"/>
          <w:color w:val="000000"/>
          <w:sz w:val="32"/>
          <w:szCs w:val="32"/>
        </w:rPr>
        <w:t>（30分）</w:t>
      </w:r>
    </w:p>
    <w:p w14:paraId="052AEFDF">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具备完整的预报精度评价报告，根据相比常规预报的精度提升进行对比评分。</w:t>
      </w:r>
    </w:p>
    <w:p w14:paraId="34A64613">
      <w:pPr>
        <w:pStyle w:val="3"/>
        <w:rPr>
          <w:rFonts w:hint="eastAsia"/>
          <w:lang w:val="en-US"/>
        </w:rPr>
      </w:pPr>
      <w:bookmarkStart w:id="1" w:name="_Hlk177806754"/>
      <w:bookmarkStart w:id="2" w:name="_Hlk177805771"/>
      <w:r>
        <w:rPr>
          <w:rFonts w:hint="eastAsia"/>
          <w:lang w:val="en-US"/>
        </w:rPr>
        <w:t>七、作品提交及评审安排</w:t>
      </w:r>
    </w:p>
    <w:bookmarkEnd w:id="1"/>
    <w:bookmarkEnd w:id="2"/>
    <w:p w14:paraId="4770D33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25ECD2E7">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67392806">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3" w:name="_GoBack"/>
      <w:bookmarkEnd w:id="3"/>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0A0AEC-D903-4FDE-A5BB-3C1FBE5382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C4200479-779F-4044-82A8-2F411F977687}"/>
  </w:font>
  <w:font w:name="方正小标宋简体">
    <w:panose1 w:val="03000509000000000000"/>
    <w:charset w:val="86"/>
    <w:family w:val="auto"/>
    <w:pitch w:val="default"/>
    <w:sig w:usb0="00000001" w:usb1="080E0000" w:usb2="00000000" w:usb3="00000000" w:csb0="00040000" w:csb1="00000000"/>
    <w:embedRegular r:id="rId3" w:fontKey="{0991E5BD-E02E-4237-A7B6-60AA6215F940}"/>
  </w:font>
  <w:font w:name="楷体_GB2312">
    <w:panose1 w:val="02010609030101010101"/>
    <w:charset w:val="86"/>
    <w:family w:val="modern"/>
    <w:pitch w:val="default"/>
    <w:sig w:usb0="00000001" w:usb1="080E0000" w:usb2="00000000" w:usb3="00000000" w:csb0="00040000" w:csb1="00000000"/>
    <w:embedRegular r:id="rId4" w:fontKey="{79455676-81DD-4F7E-82CE-14BA34CE81DE}"/>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10982">
    <w:pPr>
      <w:pStyle w:val="6"/>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posOffset>2731135</wp:posOffset>
              </wp:positionH>
              <wp:positionV relativeFrom="paragraph">
                <wp:posOffset>-142875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9B2D">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5.05pt;margin-top:-11.25pt;height:144pt;width:144pt;mso-position-horizontal-relative:margin;mso-wrap-style:none;z-index:251659264;mso-width-relative:page;mso-height-relative:page;" filled="f" stroked="f" coordsize="21600,21600" o:gfxdata="UEsDBAoAAAAAAIdO4kAAAAAAAAAAAAAAAAAEAAAAZHJzL1BLAwQUAAAACACHTuJAeyZEUdkAAAAL&#10;AQAADwAAAGRycy9kb3ducmV2LnhtbE2PwU7DMAyG70i8Q2QkblvSbh1T13QSE+WIxMqBY9aYtqNJ&#10;qiTryttjTuxo+9Pv7y/2sxnYhD70zkpIlgIY2sbp3rYSPupqsQUWorJaDc6ihB8MsC/v7wqVa3e1&#10;7zgdY8soxIZcSehiHHPOQ9OhUWHpRrR0+3LeqEijb7n26krhZuCpEBtuVG/pQ6dGPHTYfB8vRsKh&#10;qms/YfDDJ75Wq/Pb8xpfZikfHxKxAxZxjv8w/OmTOpTkdHIXqwMbJKxXIiFUwiJNM2BEPCVb2pwk&#10;pJssA14W/LZD+QtQSwMEFAAAAAgAh07iQAVhjD8rAgAAVQQAAA4AAABkcnMvZTJvRG9jLnhtbK1U&#10;zY7TMBC+I/EOlu80bRGrqmq6KlsVIVXsSgVxdh2nieQ/2W6T8gDwBpy4cOe5+hx8dpIuWjjsgYsz&#10;9oy/8ffNTBa3rZLkJJyvjc7pZDSmRGhuilofcvrp4+bVjBIfmC6YNFrk9Cw8vV2+fLFo7FxMTWVk&#10;IRwBiPbzxua0CsHOs8zzSijmR8YKDWdpnGIBW3fICscaoCuZTcfjm6wxrrDOcOE9Ttedk/aI7jmA&#10;pixrLtaGH5XQoUN1QrIASr6qrafL9NqyFDzcl6UXgcicgmlIK5LA3sc1Wy7Y/OCYrWreP4E95wlP&#10;OClWayS9Qq1ZYOTo6r+gVM2d8aYMI25U1hFJioDFZPxEm13FrEhcILW3V9H9/4PlH04PjtRFTqeU&#10;aKZQ8Mv3b5cfvy4/v5JplKexfo6onUVcaN+aFk0znHscRtZt6VT8gg+BH+Ker+KKNhAeL82ms9kY&#10;Lg7fsAF+9njdOh/eCaNINHLqUL0kKjttfehCh5CYTZtNLWWqoNSkyenN6zfjdOHqAbjUyBFJdI+N&#10;Vmj3bc9sb4oziDnTdYa3fFMj+Zb58MAcWgEPxrCEeyylNEhieouSyrgv/zqP8agQvJQ0aK2cakwS&#10;JfK9RuUAGAbDDcZ+MPRR3Rn06gRDaHkyccEFOZilM+ozJmgVc8DFNEemnIbBvAtde2MCuVitUhB6&#10;zbKw1TvLI3QUz9vVMUDApGsUpVOi1wrdlirTT0Zs5z/3Kerxb7D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smRFHZAAAACwEAAA8AAAAAAAAAAQAgAAAAIgAAAGRycy9kb3ducmV2LnhtbFBLAQIU&#10;ABQAAAAIAIdO4kAFYYw/KwIAAFUEAAAOAAAAAAAAAAEAIAAAACgBAABkcnMvZTJvRG9jLnhtbFBL&#10;BQYAAAAABgAGAFkBAADFBQAAAAA=&#10;">
              <v:fill on="f" focussize="0,0"/>
              <v:stroke on="f" weight="0.5pt"/>
              <v:imagedata o:title=""/>
              <o:lock v:ext="edit" aspectratio="f"/>
              <v:textbox inset="0mm,0mm,0mm,0mm" style="mso-fit-shape-to-text:t;">
                <w:txbxContent>
                  <w:p w14:paraId="03B99B2D">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47256"/>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431E"/>
    <w:rsid w:val="00236E3E"/>
    <w:rsid w:val="002560B0"/>
    <w:rsid w:val="00281AE9"/>
    <w:rsid w:val="00283877"/>
    <w:rsid w:val="002871CF"/>
    <w:rsid w:val="002938E3"/>
    <w:rsid w:val="002B0D40"/>
    <w:rsid w:val="002B6DDC"/>
    <w:rsid w:val="002E6712"/>
    <w:rsid w:val="002E7BFD"/>
    <w:rsid w:val="002F7D9C"/>
    <w:rsid w:val="0031034A"/>
    <w:rsid w:val="0033552B"/>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02FB4"/>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0BC4"/>
    <w:rsid w:val="006226BA"/>
    <w:rsid w:val="00633F6B"/>
    <w:rsid w:val="00636F96"/>
    <w:rsid w:val="00663468"/>
    <w:rsid w:val="0066573D"/>
    <w:rsid w:val="0068166A"/>
    <w:rsid w:val="00694D82"/>
    <w:rsid w:val="006A3A6E"/>
    <w:rsid w:val="006A51DF"/>
    <w:rsid w:val="006C3959"/>
    <w:rsid w:val="006C732F"/>
    <w:rsid w:val="006D77EE"/>
    <w:rsid w:val="006E6DDA"/>
    <w:rsid w:val="006F31E6"/>
    <w:rsid w:val="007216F0"/>
    <w:rsid w:val="0073249A"/>
    <w:rsid w:val="00746651"/>
    <w:rsid w:val="00765C33"/>
    <w:rsid w:val="00777C79"/>
    <w:rsid w:val="007879EC"/>
    <w:rsid w:val="007C6D9C"/>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03E5"/>
    <w:rsid w:val="00987542"/>
    <w:rsid w:val="00995541"/>
    <w:rsid w:val="00996802"/>
    <w:rsid w:val="009A5F81"/>
    <w:rsid w:val="00A0235C"/>
    <w:rsid w:val="00A22759"/>
    <w:rsid w:val="00A30D68"/>
    <w:rsid w:val="00A31A98"/>
    <w:rsid w:val="00A4232F"/>
    <w:rsid w:val="00A43480"/>
    <w:rsid w:val="00A460CE"/>
    <w:rsid w:val="00AA7BD8"/>
    <w:rsid w:val="00AB1BF4"/>
    <w:rsid w:val="00AD025A"/>
    <w:rsid w:val="00AD24CF"/>
    <w:rsid w:val="00AD6CFA"/>
    <w:rsid w:val="00AE66B7"/>
    <w:rsid w:val="00AF15B0"/>
    <w:rsid w:val="00B0258C"/>
    <w:rsid w:val="00B32E7F"/>
    <w:rsid w:val="00B40CAF"/>
    <w:rsid w:val="00B52CCC"/>
    <w:rsid w:val="00B6161A"/>
    <w:rsid w:val="00B70A95"/>
    <w:rsid w:val="00B733B7"/>
    <w:rsid w:val="00B80EC7"/>
    <w:rsid w:val="00BA70BA"/>
    <w:rsid w:val="00BC1B59"/>
    <w:rsid w:val="00BE634B"/>
    <w:rsid w:val="00BF4E2D"/>
    <w:rsid w:val="00C07788"/>
    <w:rsid w:val="00C217F1"/>
    <w:rsid w:val="00C24C93"/>
    <w:rsid w:val="00C54BF6"/>
    <w:rsid w:val="00C60328"/>
    <w:rsid w:val="00C678B8"/>
    <w:rsid w:val="00C81301"/>
    <w:rsid w:val="00C82B11"/>
    <w:rsid w:val="00C90F03"/>
    <w:rsid w:val="00C97BA0"/>
    <w:rsid w:val="00CB5FAC"/>
    <w:rsid w:val="00D05DE3"/>
    <w:rsid w:val="00D26961"/>
    <w:rsid w:val="00D35340"/>
    <w:rsid w:val="00D474E2"/>
    <w:rsid w:val="00D531BB"/>
    <w:rsid w:val="00D55D40"/>
    <w:rsid w:val="00D64A7B"/>
    <w:rsid w:val="00D71164"/>
    <w:rsid w:val="00D755E0"/>
    <w:rsid w:val="00D8092B"/>
    <w:rsid w:val="00D826F5"/>
    <w:rsid w:val="00D905C1"/>
    <w:rsid w:val="00DA4A6A"/>
    <w:rsid w:val="00DB02D9"/>
    <w:rsid w:val="00DB59F1"/>
    <w:rsid w:val="00DC3E6C"/>
    <w:rsid w:val="00DE6299"/>
    <w:rsid w:val="00DE6A67"/>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82EB7"/>
    <w:rsid w:val="00E909FD"/>
    <w:rsid w:val="00EA0B44"/>
    <w:rsid w:val="00EA2C6A"/>
    <w:rsid w:val="00EA697C"/>
    <w:rsid w:val="00EA726A"/>
    <w:rsid w:val="00EB1E9B"/>
    <w:rsid w:val="00EB2BDB"/>
    <w:rsid w:val="00EB4B20"/>
    <w:rsid w:val="00EC3EB9"/>
    <w:rsid w:val="00ED75C0"/>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9D64B9"/>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970956"/>
    <w:rsid w:val="11AD4CBD"/>
    <w:rsid w:val="11D96D62"/>
    <w:rsid w:val="120851FE"/>
    <w:rsid w:val="12415B32"/>
    <w:rsid w:val="12647A72"/>
    <w:rsid w:val="12A47462"/>
    <w:rsid w:val="12AB1133"/>
    <w:rsid w:val="12D27971"/>
    <w:rsid w:val="12E36BE9"/>
    <w:rsid w:val="13221EE1"/>
    <w:rsid w:val="138059EE"/>
    <w:rsid w:val="138E2FF9"/>
    <w:rsid w:val="13CA2B4E"/>
    <w:rsid w:val="13EE5957"/>
    <w:rsid w:val="14294F3F"/>
    <w:rsid w:val="145A1BF7"/>
    <w:rsid w:val="14851B79"/>
    <w:rsid w:val="156A1AD4"/>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6037E4"/>
    <w:rsid w:val="1EA907D1"/>
    <w:rsid w:val="1F066139"/>
    <w:rsid w:val="1F3C04FF"/>
    <w:rsid w:val="1F762BAF"/>
    <w:rsid w:val="20123648"/>
    <w:rsid w:val="21DA0F90"/>
    <w:rsid w:val="21FC1E7F"/>
    <w:rsid w:val="21FD6C01"/>
    <w:rsid w:val="22463DDE"/>
    <w:rsid w:val="227E692E"/>
    <w:rsid w:val="22881F58"/>
    <w:rsid w:val="22E55DA3"/>
    <w:rsid w:val="231F12DE"/>
    <w:rsid w:val="23531B69"/>
    <w:rsid w:val="23835AF5"/>
    <w:rsid w:val="23991047"/>
    <w:rsid w:val="23B107E7"/>
    <w:rsid w:val="23B940CE"/>
    <w:rsid w:val="242F1397"/>
    <w:rsid w:val="25324A72"/>
    <w:rsid w:val="254C6200"/>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9F1494"/>
    <w:rsid w:val="38A54F26"/>
    <w:rsid w:val="38AB24E9"/>
    <w:rsid w:val="38DD789A"/>
    <w:rsid w:val="393E61F7"/>
    <w:rsid w:val="39547B8F"/>
    <w:rsid w:val="396669FF"/>
    <w:rsid w:val="397B56DC"/>
    <w:rsid w:val="39AC7A37"/>
    <w:rsid w:val="39EE0ECA"/>
    <w:rsid w:val="3A010BF4"/>
    <w:rsid w:val="3A5A5133"/>
    <w:rsid w:val="3A5F052B"/>
    <w:rsid w:val="3AE016E8"/>
    <w:rsid w:val="3B3347D5"/>
    <w:rsid w:val="3BC02155"/>
    <w:rsid w:val="3BF7E6BF"/>
    <w:rsid w:val="3C28581E"/>
    <w:rsid w:val="3C4538F8"/>
    <w:rsid w:val="3CA2297F"/>
    <w:rsid w:val="3CD975B2"/>
    <w:rsid w:val="3CFC1E0B"/>
    <w:rsid w:val="3CFF1E29"/>
    <w:rsid w:val="3D7D1865"/>
    <w:rsid w:val="3D847EFE"/>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8A7428D"/>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5F2D35"/>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CA6A78"/>
    <w:rsid w:val="52D85750"/>
    <w:rsid w:val="52FB18C6"/>
    <w:rsid w:val="531072F0"/>
    <w:rsid w:val="53213E80"/>
    <w:rsid w:val="53FE3E0A"/>
    <w:rsid w:val="543142CF"/>
    <w:rsid w:val="548D3DE5"/>
    <w:rsid w:val="55286E22"/>
    <w:rsid w:val="556E6581"/>
    <w:rsid w:val="5588677D"/>
    <w:rsid w:val="560317C0"/>
    <w:rsid w:val="560E14B9"/>
    <w:rsid w:val="561F720E"/>
    <w:rsid w:val="564263CA"/>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2010F"/>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1C3580E"/>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850049"/>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CB6BAB"/>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024827"/>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3"/>
    <w:autoRedefine/>
    <w:semiHidden/>
    <w:unhideWhenUsed/>
    <w:qFormat/>
    <w:uiPriority w:val="99"/>
    <w:rPr>
      <w:sz w:val="18"/>
      <w:szCs w:val="18"/>
    </w:rPr>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 w:type="character" w:customStyle="1" w:styleId="23">
    <w:name w:val="批注框文本 字符"/>
    <w:basedOn w:val="10"/>
    <w:link w:val="5"/>
    <w:autoRedefine/>
    <w:semiHidden/>
    <w:qFormat/>
    <w:uiPriority w:val="99"/>
    <w:rPr>
      <w:rFonts w:eastAsia="Times New Roman"/>
      <w:sz w:val="18"/>
      <w:szCs w:val="18"/>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1860</Words>
  <Characters>1917</Characters>
  <Lines>14</Lines>
  <Paragraphs>3</Paragraphs>
  <TotalTime>0</TotalTime>
  <ScaleCrop>false</ScaleCrop>
  <LinksUpToDate>false</LinksUpToDate>
  <CharactersWithSpaces>1921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2023-02-10T13:38:00Z</dcterms:created>
  <dc:creator>张 斌</dc:creator>
  <cp:lastModifiedBy>金阳</cp:lastModifiedBy>
  <cp:lastPrinted>2023-02-10T11:47:00Z</cp:lastPrinted>
  <dcterms:modified xsi:type="dcterms:W3CDTF">2024-09-25T08:49:46Z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587C1BDC9D0542C3914EEC38E8A1D90E_13</vt:lpwstr>
  </property>
</Properties>
</file>