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6B6E0C">
      <w:pPr>
        <w:pStyle w:val="2"/>
        <w:keepNext w:val="0"/>
        <w:keepLines w:val="0"/>
        <w:widowControl/>
        <w:ind w:firstLine="0" w:firstLineChars="0"/>
        <w:jc w:val="left"/>
        <w:rPr>
          <w:rFonts w:eastAsia="仿宋_GB2312" w:cs="仿宋_GB2312"/>
          <w:color w:val="000000" w:themeColor="text1"/>
          <w:kern w:val="36"/>
          <w:szCs w:val="32"/>
          <w14:textFill>
            <w14:solidFill>
              <w14:schemeClr w14:val="tx1"/>
            </w14:solidFill>
          </w14:textFill>
        </w:rPr>
      </w:pPr>
      <w:r>
        <w:rPr>
          <w:rFonts w:eastAsia="仿宋_GB2312" w:cs="仿宋_GB2312"/>
          <w:color w:val="000000" w:themeColor="text1"/>
          <w:kern w:val="36"/>
          <w:szCs w:val="32"/>
          <w14:textFill>
            <w14:solidFill>
              <w14:schemeClr w14:val="tx1"/>
            </w14:solidFill>
          </w14:textFill>
        </w:rPr>
        <w:t>题目</w:t>
      </w:r>
      <w:r>
        <w:rPr>
          <w:rFonts w:hint="eastAsia" w:eastAsia="仿宋_GB2312" w:cs="仿宋_GB2312"/>
          <w:color w:val="000000" w:themeColor="text1"/>
          <w:kern w:val="36"/>
          <w:szCs w:val="32"/>
          <w14:textFill>
            <w14:solidFill>
              <w14:schemeClr w14:val="tx1"/>
            </w14:solidFill>
          </w14:textFill>
        </w:rPr>
        <w:t>55：</w:t>
      </w:r>
    </w:p>
    <w:p w14:paraId="2969A8DD">
      <w:pPr>
        <w:pStyle w:val="2"/>
        <w:keepNext w:val="0"/>
        <w:keepLines w:val="0"/>
        <w:widowControl/>
        <w:spacing w:line="240" w:lineRule="auto"/>
        <w:ind w:firstLine="0" w:firstLineChars="0"/>
        <w:jc w:val="center"/>
        <w:rPr>
          <w:rFonts w:eastAsia="方正小标宋简体" w:cs="方正小标宋简体"/>
          <w:color w:val="000000" w:themeColor="text1"/>
          <w:kern w:val="36"/>
          <w:sz w:val="44"/>
          <w:szCs w:val="44"/>
          <w14:textFill>
            <w14:solidFill>
              <w14:schemeClr w14:val="tx1"/>
            </w14:solidFill>
          </w14:textFill>
        </w:rPr>
      </w:pPr>
      <w:r>
        <w:rPr>
          <w:rFonts w:hint="eastAsia" w:eastAsia="方正小标宋简体" w:cs="方正小标宋简体"/>
          <w:color w:val="000000" w:themeColor="text1"/>
          <w:kern w:val="36"/>
          <w:sz w:val="44"/>
          <w:szCs w:val="44"/>
          <w14:textFill>
            <w14:solidFill>
              <w14:schemeClr w14:val="tx1"/>
            </w14:solidFill>
          </w14:textFill>
        </w:rPr>
        <w:t>“数字时代网络暴力信息的风险治理路径”</w:t>
      </w:r>
    </w:p>
    <w:p w14:paraId="557FEC58">
      <w:pPr>
        <w:pStyle w:val="2"/>
        <w:keepNext w:val="0"/>
        <w:keepLines w:val="0"/>
        <w:widowControl/>
        <w:spacing w:line="240" w:lineRule="auto"/>
        <w:ind w:firstLine="0" w:firstLineChars="0"/>
        <w:jc w:val="center"/>
        <w:rPr>
          <w:rFonts w:eastAsia="方正小标宋简体" w:cs="方正小标宋简体"/>
          <w:color w:val="000000" w:themeColor="text1"/>
          <w:kern w:val="36"/>
          <w:sz w:val="44"/>
          <w:szCs w:val="44"/>
          <w14:textFill>
            <w14:solidFill>
              <w14:schemeClr w14:val="tx1"/>
            </w14:solidFill>
          </w14:textFill>
        </w:rPr>
      </w:pPr>
      <w:r>
        <w:rPr>
          <w:rFonts w:hint="eastAsia" w:eastAsia="方正小标宋简体" w:cs="方正小标宋简体"/>
          <w:color w:val="000000" w:themeColor="text1"/>
          <w:kern w:val="36"/>
          <w:sz w:val="44"/>
          <w:szCs w:val="44"/>
          <w14:textFill>
            <w14:solidFill>
              <w14:schemeClr w14:val="tx1"/>
            </w14:solidFill>
          </w14:textFill>
        </w:rPr>
        <w:t>比赛方案</w:t>
      </w:r>
    </w:p>
    <w:p w14:paraId="279ABF71">
      <w:pPr>
        <w:widowControl/>
        <w:spacing w:line="240" w:lineRule="auto"/>
        <w:ind w:firstLine="0" w:firstLineChars="0"/>
        <w:jc w:val="center"/>
        <w:rPr>
          <w:rFonts w:eastAsia="楷体_GB2312" w:cs="楷体_GB2312"/>
          <w:color w:val="000000" w:themeColor="text1"/>
          <w:kern w:val="0"/>
          <w:szCs w:val="32"/>
          <w14:textFill>
            <w14:solidFill>
              <w14:schemeClr w14:val="tx1"/>
            </w14:solidFill>
          </w14:textFill>
        </w:rPr>
      </w:pPr>
      <w:r>
        <w:rPr>
          <w:rFonts w:hint="eastAsia" w:eastAsia="楷体_GB2312" w:cs="楷体_GB2312"/>
          <w:color w:val="000000" w:themeColor="text1"/>
          <w:kern w:val="0"/>
          <w:szCs w:val="32"/>
          <w14:textFill>
            <w14:solidFill>
              <w14:schemeClr w14:val="tx1"/>
            </w14:solidFill>
          </w14:textFill>
        </w:rPr>
        <w:t>（中国社会科学院法学研究所）</w:t>
      </w:r>
    </w:p>
    <w:p w14:paraId="76AF12DC">
      <w:pPr>
        <w:ind w:firstLine="640"/>
      </w:pPr>
    </w:p>
    <w:p w14:paraId="357386B2">
      <w:pPr>
        <w:pStyle w:val="3"/>
        <w:widowControl/>
        <w:spacing w:line="240" w:lineRule="auto"/>
        <w:ind w:firstLine="640"/>
        <w:rPr>
          <w:rFonts w:eastAsia="黑体" w:cs="黑体"/>
          <w:color w:val="000000" w:themeColor="text1"/>
          <w:kern w:val="0"/>
          <w:szCs w:val="22"/>
          <w14:textFill>
            <w14:solidFill>
              <w14:schemeClr w14:val="tx1"/>
            </w14:solidFill>
          </w14:textFill>
        </w:rPr>
      </w:pPr>
      <w:r>
        <w:rPr>
          <w:rFonts w:eastAsia="黑体" w:cs="黑体"/>
          <w:color w:val="000000" w:themeColor="text1"/>
          <w:kern w:val="0"/>
          <w:szCs w:val="22"/>
          <w14:textFill>
            <w14:solidFill>
              <w14:schemeClr w14:val="tx1"/>
            </w14:solidFill>
          </w14:textFill>
        </w:rPr>
        <w:t>一、</w:t>
      </w:r>
      <w:r>
        <w:rPr>
          <w:rFonts w:hint="eastAsia" w:eastAsia="黑体" w:cs="黑体"/>
          <w:color w:val="000000" w:themeColor="text1"/>
          <w:kern w:val="0"/>
          <w:szCs w:val="22"/>
          <w14:textFill>
            <w14:solidFill>
              <w14:schemeClr w14:val="tx1"/>
            </w14:solidFill>
          </w14:textFill>
        </w:rPr>
        <w:t>出题</w:t>
      </w:r>
      <w:r>
        <w:rPr>
          <w:rFonts w:eastAsia="黑体" w:cs="黑体"/>
          <w:color w:val="000000" w:themeColor="text1"/>
          <w:kern w:val="0"/>
          <w:szCs w:val="22"/>
          <w14:textFill>
            <w14:solidFill>
              <w14:schemeClr w14:val="tx1"/>
            </w14:solidFill>
          </w14:textFill>
        </w:rPr>
        <w:t>单位</w:t>
      </w:r>
    </w:p>
    <w:p w14:paraId="2C032F69">
      <w:pPr>
        <w:widowControl/>
        <w:ind w:firstLine="640"/>
        <w:rPr>
          <w:rFonts w:eastAsia="仿宋_GB2312" w:cs="仿宋_GB2312"/>
          <w:color w:val="000000" w:themeColor="text1"/>
          <w:kern w:val="0"/>
          <w:szCs w:val="32"/>
          <w14:textFill>
            <w14:solidFill>
              <w14:schemeClr w14:val="tx1"/>
            </w14:solidFill>
          </w14:textFill>
        </w:rPr>
      </w:pPr>
      <w:r>
        <w:rPr>
          <w:rFonts w:hint="eastAsia" w:eastAsia="仿宋_GB2312" w:cs="仿宋_GB2312"/>
          <w:color w:val="000000" w:themeColor="text1"/>
          <w:kern w:val="0"/>
          <w:szCs w:val="32"/>
          <w14:textFill>
            <w14:solidFill>
              <w14:schemeClr w14:val="tx1"/>
            </w14:solidFill>
          </w14:textFill>
        </w:rPr>
        <w:t>中国社会科学院法学研究所</w:t>
      </w:r>
    </w:p>
    <w:p w14:paraId="113E9355">
      <w:pPr>
        <w:pStyle w:val="3"/>
        <w:widowControl/>
        <w:spacing w:line="240" w:lineRule="auto"/>
        <w:ind w:firstLine="640"/>
        <w:rPr>
          <w:rFonts w:eastAsia="黑体" w:cs="黑体"/>
          <w:color w:val="000000" w:themeColor="text1"/>
          <w:kern w:val="0"/>
          <w:szCs w:val="22"/>
          <w14:textFill>
            <w14:solidFill>
              <w14:schemeClr w14:val="tx1"/>
            </w14:solidFill>
          </w14:textFill>
        </w:rPr>
      </w:pPr>
      <w:r>
        <w:rPr>
          <w:rFonts w:hint="eastAsia" w:eastAsia="黑体" w:cs="黑体"/>
          <w:color w:val="000000" w:themeColor="text1"/>
          <w:kern w:val="0"/>
          <w:szCs w:val="22"/>
          <w14:textFill>
            <w14:solidFill>
              <w14:schemeClr w14:val="tx1"/>
            </w14:solidFill>
          </w14:textFill>
        </w:rPr>
        <w:t>二、题目名称</w:t>
      </w:r>
    </w:p>
    <w:p w14:paraId="28A6E298">
      <w:pPr>
        <w:widowControl/>
        <w:ind w:firstLine="640"/>
        <w:rPr>
          <w:rFonts w:eastAsia="仿宋_GB2312" w:cs="仿宋_GB2312"/>
          <w:color w:val="000000" w:themeColor="text1"/>
          <w:kern w:val="0"/>
          <w:szCs w:val="32"/>
          <w14:textFill>
            <w14:solidFill>
              <w14:schemeClr w14:val="tx1"/>
            </w14:solidFill>
          </w14:textFill>
        </w:rPr>
      </w:pPr>
      <w:r>
        <w:rPr>
          <w:rFonts w:hint="eastAsia" w:eastAsia="仿宋_GB2312" w:cs="仿宋_GB2312"/>
          <w:color w:val="000000" w:themeColor="text1"/>
          <w:kern w:val="0"/>
          <w:szCs w:val="32"/>
          <w14:textFill>
            <w14:solidFill>
              <w14:schemeClr w14:val="tx1"/>
            </w14:solidFill>
          </w14:textFill>
        </w:rPr>
        <w:t>数字时代网络暴力信息的风险治理路径</w:t>
      </w:r>
    </w:p>
    <w:p w14:paraId="254FBC55">
      <w:pPr>
        <w:pStyle w:val="3"/>
        <w:widowControl/>
        <w:spacing w:line="240" w:lineRule="auto"/>
        <w:ind w:firstLine="640"/>
        <w:rPr>
          <w:rFonts w:eastAsia="黑体" w:cs="黑体"/>
          <w:color w:val="000000" w:themeColor="text1"/>
          <w:kern w:val="0"/>
          <w:szCs w:val="22"/>
          <w14:textFill>
            <w14:solidFill>
              <w14:schemeClr w14:val="tx1"/>
            </w14:solidFill>
          </w14:textFill>
        </w:rPr>
      </w:pPr>
      <w:r>
        <w:rPr>
          <w:rFonts w:hint="eastAsia" w:eastAsia="黑体" w:cs="黑体"/>
          <w:color w:val="000000" w:themeColor="text1"/>
          <w:kern w:val="0"/>
          <w:szCs w:val="22"/>
          <w14:textFill>
            <w14:solidFill>
              <w14:schemeClr w14:val="tx1"/>
            </w14:solidFill>
          </w14:textFill>
        </w:rPr>
        <w:t>三、题目介绍</w:t>
      </w:r>
    </w:p>
    <w:p w14:paraId="7EF8DDEB">
      <w:pPr>
        <w:widowControl/>
        <w:ind w:firstLine="640"/>
        <w:rPr>
          <w:rFonts w:eastAsia="仿宋_GB2312" w:cs="仿宋_GB2312"/>
          <w:color w:val="000000" w:themeColor="text1"/>
          <w:kern w:val="0"/>
          <w:szCs w:val="32"/>
          <w14:textFill>
            <w14:solidFill>
              <w14:schemeClr w14:val="tx1"/>
            </w14:solidFill>
          </w14:textFill>
        </w:rPr>
      </w:pPr>
      <w:r>
        <w:rPr>
          <w:rFonts w:hint="eastAsia" w:eastAsia="仿宋_GB2312" w:cs="仿宋_GB2312"/>
          <w:color w:val="000000" w:themeColor="text1"/>
          <w:kern w:val="0"/>
          <w:szCs w:val="32"/>
          <w14:textFill>
            <w14:solidFill>
              <w14:schemeClr w14:val="tx1"/>
            </w14:solidFill>
          </w14:textFill>
        </w:rPr>
        <w:t>伴随着网络信息技术的创新、个人信息保护的重要性等社会经济技术基础和要素发生变化，近年来网络暴力致人自杀、伤亡等恶性事件愈发频繁，网络暴力信息治理也愈发迫切。网络暴力是一种群体情绪激化行为，往往与网络谣言、网络诈骗、个人信息泄露、“开盒挂人”等违法违规行为密切相关。同时，由于网络水军等网络黑灰产的推波助澜，网络暴力已经严重影响整个网络信息内容生态体系的安全性和稳定性。虽然我国已相继出台《关于依法惩治网络暴力违法犯罪的指导意见》《关于切实加强网络暴力治理的通知》等法律法规和政策文件，但是由于违法成本低、维权成本高、施暴者身份难以确定、法律威慑力不足等因素，网络暴力信息的治理实效有所欠缺。因此，网络暴力信息的治理不能仅依靠立法，需要更加多元化的治理方式实现体系性的风险预防和控制。</w:t>
      </w:r>
    </w:p>
    <w:p w14:paraId="2C6686CB">
      <w:pPr>
        <w:widowControl/>
        <w:ind w:firstLine="640"/>
        <w:rPr>
          <w:rFonts w:eastAsia="仿宋_GB2312" w:cs="仿宋_GB2312"/>
          <w:color w:val="000000" w:themeColor="text1"/>
          <w:kern w:val="0"/>
          <w:szCs w:val="32"/>
          <w14:textFill>
            <w14:solidFill>
              <w14:schemeClr w14:val="tx1"/>
            </w14:solidFill>
          </w14:textFill>
        </w:rPr>
      </w:pPr>
      <w:r>
        <w:rPr>
          <w:rFonts w:hint="eastAsia" w:eastAsia="仿宋_GB2312" w:cs="仿宋_GB2312"/>
          <w:color w:val="000000" w:themeColor="text1"/>
          <w:kern w:val="0"/>
          <w:szCs w:val="32"/>
          <w14:textFill>
            <w14:solidFill>
              <w14:schemeClr w14:val="tx1"/>
            </w14:solidFill>
          </w14:textFill>
        </w:rPr>
        <w:t>请以下列要点为主要内容，针对数字时代网络暴力信息的风险治理问题，创新研究方法、研究思路、研究模式，开展规范、系统、可落地、可操作的具体方案研究：</w:t>
      </w:r>
    </w:p>
    <w:p w14:paraId="744DEE7D">
      <w:pPr>
        <w:widowControl/>
        <w:ind w:firstLine="640"/>
        <w:rPr>
          <w:rFonts w:eastAsia="仿宋_GB2312" w:cs="仿宋_GB2312"/>
          <w:color w:val="000000" w:themeColor="text1"/>
          <w:kern w:val="0"/>
          <w:szCs w:val="32"/>
          <w14:textFill>
            <w14:solidFill>
              <w14:schemeClr w14:val="tx1"/>
            </w14:solidFill>
          </w14:textFill>
        </w:rPr>
      </w:pPr>
      <w:r>
        <w:rPr>
          <w:rFonts w:hint="eastAsia" w:eastAsia="仿宋_GB2312" w:cs="仿宋_GB2312"/>
          <w:color w:val="000000" w:themeColor="text1"/>
          <w:kern w:val="0"/>
          <w:szCs w:val="32"/>
          <w14:textFill>
            <w14:solidFill>
              <w14:schemeClr w14:val="tx1"/>
            </w14:solidFill>
          </w14:textFill>
        </w:rPr>
        <w:t>1. 研究网络暴力信息的呈现方式、认定标准、具体类型等；</w:t>
      </w:r>
    </w:p>
    <w:p w14:paraId="6CC31BF5">
      <w:pPr>
        <w:widowControl/>
        <w:ind w:firstLine="640"/>
        <w:rPr>
          <w:rFonts w:eastAsia="仿宋_GB2312" w:cs="仿宋_GB2312"/>
          <w:color w:val="000000" w:themeColor="text1"/>
          <w:kern w:val="0"/>
          <w:szCs w:val="32"/>
          <w14:textFill>
            <w14:solidFill>
              <w14:schemeClr w14:val="tx1"/>
            </w14:solidFill>
          </w14:textFill>
        </w:rPr>
      </w:pPr>
      <w:r>
        <w:rPr>
          <w:rFonts w:hint="eastAsia" w:eastAsia="仿宋_GB2312" w:cs="仿宋_GB2312"/>
          <w:color w:val="000000" w:themeColor="text1"/>
          <w:kern w:val="0"/>
          <w:szCs w:val="32"/>
          <w14:textFill>
            <w14:solidFill>
              <w14:schemeClr w14:val="tx1"/>
            </w14:solidFill>
          </w14:textFill>
        </w:rPr>
        <w:t>2. 研究网络暴力信息的形成原因、产生机理、演变过程、影响因素、重点关键环节等；</w:t>
      </w:r>
    </w:p>
    <w:p w14:paraId="14146B3C">
      <w:pPr>
        <w:widowControl/>
        <w:ind w:firstLine="640"/>
        <w:rPr>
          <w:rFonts w:eastAsia="仿宋_GB2312" w:cs="仿宋_GB2312"/>
          <w:color w:val="000000" w:themeColor="text1"/>
          <w:kern w:val="0"/>
          <w:szCs w:val="32"/>
          <w14:textFill>
            <w14:solidFill>
              <w14:schemeClr w14:val="tx1"/>
            </w14:solidFill>
          </w14:textFill>
        </w:rPr>
      </w:pPr>
      <w:r>
        <w:rPr>
          <w:rFonts w:hint="eastAsia" w:eastAsia="仿宋_GB2312" w:cs="仿宋_GB2312"/>
          <w:color w:val="000000" w:themeColor="text1"/>
          <w:kern w:val="0"/>
          <w:szCs w:val="32"/>
          <w14:textFill>
            <w14:solidFill>
              <w14:schemeClr w14:val="tx1"/>
            </w14:solidFill>
          </w14:textFill>
        </w:rPr>
        <w:t>3. 研究特殊主体在网络暴力信息传播中的识别预判、角色定位、作用影响等；</w:t>
      </w:r>
    </w:p>
    <w:p w14:paraId="6E629F8E">
      <w:pPr>
        <w:widowControl/>
        <w:ind w:firstLine="640"/>
        <w:rPr>
          <w:rFonts w:eastAsia="仿宋_GB2312" w:cs="仿宋_GB2312"/>
          <w:color w:val="000000" w:themeColor="text1"/>
          <w:kern w:val="0"/>
          <w:szCs w:val="32"/>
          <w14:textFill>
            <w14:solidFill>
              <w14:schemeClr w14:val="tx1"/>
            </w14:solidFill>
          </w14:textFill>
        </w:rPr>
      </w:pPr>
      <w:r>
        <w:rPr>
          <w:rFonts w:hint="eastAsia" w:eastAsia="仿宋_GB2312" w:cs="仿宋_GB2312"/>
          <w:color w:val="000000" w:themeColor="text1"/>
          <w:kern w:val="0"/>
          <w:szCs w:val="32"/>
          <w14:textFill>
            <w14:solidFill>
              <w14:schemeClr w14:val="tx1"/>
            </w14:solidFill>
          </w14:textFill>
        </w:rPr>
        <w:t>4. 研究网络平台在网络暴力信息治理中的责任内容、功能作用、义务边界、创新工具等；</w:t>
      </w:r>
    </w:p>
    <w:p w14:paraId="589004B8">
      <w:pPr>
        <w:widowControl/>
        <w:ind w:firstLine="640"/>
        <w:rPr>
          <w:rFonts w:eastAsia="仿宋_GB2312" w:cs="仿宋_GB2312"/>
          <w:color w:val="000000" w:themeColor="text1"/>
          <w:kern w:val="0"/>
          <w:szCs w:val="32"/>
          <w14:textFill>
            <w14:solidFill>
              <w14:schemeClr w14:val="tx1"/>
            </w14:solidFill>
          </w14:textFill>
        </w:rPr>
      </w:pPr>
      <w:r>
        <w:rPr>
          <w:rFonts w:hint="eastAsia" w:eastAsia="仿宋_GB2312" w:cs="仿宋_GB2312"/>
          <w:color w:val="000000" w:themeColor="text1"/>
          <w:kern w:val="0"/>
          <w:szCs w:val="32"/>
          <w14:textFill>
            <w14:solidFill>
              <w14:schemeClr w14:val="tx1"/>
            </w14:solidFill>
          </w14:textFill>
        </w:rPr>
        <w:t>5. 研究网络暴力信息治理的具体路径和实施方案等。</w:t>
      </w:r>
    </w:p>
    <w:p w14:paraId="2811E3AF">
      <w:pPr>
        <w:pStyle w:val="3"/>
        <w:widowControl/>
        <w:spacing w:line="240" w:lineRule="auto"/>
        <w:ind w:firstLine="640"/>
        <w:rPr>
          <w:rFonts w:eastAsia="黑体" w:cs="黑体"/>
          <w:color w:val="000000" w:themeColor="text1"/>
          <w:kern w:val="0"/>
          <w:szCs w:val="22"/>
          <w14:textFill>
            <w14:solidFill>
              <w14:schemeClr w14:val="tx1"/>
            </w14:solidFill>
          </w14:textFill>
        </w:rPr>
      </w:pPr>
      <w:r>
        <w:rPr>
          <w:rFonts w:hint="eastAsia" w:eastAsia="黑体" w:cs="黑体"/>
          <w:color w:val="000000" w:themeColor="text1"/>
          <w:kern w:val="0"/>
          <w:szCs w:val="22"/>
          <w14:textFill>
            <w14:solidFill>
              <w14:schemeClr w14:val="tx1"/>
            </w14:solidFill>
          </w14:textFill>
        </w:rPr>
        <w:t>四、参赛对象</w:t>
      </w:r>
    </w:p>
    <w:p w14:paraId="51586613">
      <w:pPr>
        <w:widowControl/>
        <w:ind w:firstLine="640"/>
        <w:rPr>
          <w:rFonts w:eastAsia="仿宋_GB2312" w:cs="仿宋_GB2312"/>
          <w:szCs w:val="32"/>
        </w:rPr>
      </w:pPr>
      <w:r>
        <w:rPr>
          <w:rFonts w:hint="eastAsia" w:eastAsia="仿宋_GB2312" w:cs="仿宋_GB2312"/>
          <w:szCs w:val="32"/>
        </w:rPr>
        <w:t>2024年6月1日以前正式注册的全日制非成人教育的在校本科生、硕士研究生（不含在职研究生）均可申报作品参赛，以个人或团队形式参赛均可，每个团队不超过10人（含作品申报者），每件作品可由不超过3名教师指导完成。可以跨专业、跨学院组队，所属单位以学生负责人所在院系认定。</w:t>
      </w:r>
    </w:p>
    <w:p w14:paraId="4750B4E7">
      <w:pPr>
        <w:widowControl/>
        <w:ind w:firstLine="640"/>
        <w:rPr>
          <w:rFonts w:eastAsia="仿宋_GB2312" w:cs="仿宋_GB2312"/>
          <w:szCs w:val="32"/>
        </w:rPr>
      </w:pPr>
      <w:r>
        <w:rPr>
          <w:rFonts w:hint="eastAsia" w:eastAsia="仿宋_GB2312" w:cs="仿宋_GB2312"/>
          <w:szCs w:val="32"/>
        </w:rPr>
        <w:t>本校硕博连读生（直博生）若在2024年6月1日以前未通过博士资格考试的，可以按研究生学历申报作品。没有实行资格考试制度的学校，前两年可以按硕士学历申报作品。本硕博连读生，按照四年、两年分别对应本、硕申报，后续则不可申报。</w:t>
      </w:r>
    </w:p>
    <w:p w14:paraId="7E38DF20">
      <w:pPr>
        <w:widowControl/>
        <w:ind w:firstLine="640"/>
        <w:rPr>
          <w:rFonts w:eastAsia="仿宋_GB2312" w:cs="仿宋_GB2312"/>
          <w:szCs w:val="32"/>
        </w:rPr>
      </w:pPr>
      <w:r>
        <w:rPr>
          <w:rFonts w:hint="eastAsia" w:eastAsia="仿宋_GB2312" w:cs="仿宋_GB2312"/>
          <w:szCs w:val="32"/>
        </w:rPr>
        <w:t>毕业设计和课程设计（论文）、学年论文和学位论文、国际竞赛中获奖的作品、获国家级奖励成果（含本竞赛主办单位参与举办的其他全国性竞赛的获奖作品）等均不在申报范围之列。</w:t>
      </w:r>
    </w:p>
    <w:p w14:paraId="66D4CD54">
      <w:pPr>
        <w:widowControl/>
        <w:ind w:firstLine="640"/>
        <w:rPr>
          <w:rFonts w:eastAsia="仿宋_GB2312" w:cs="仿宋_GB2312"/>
          <w:szCs w:val="32"/>
        </w:rPr>
      </w:pPr>
      <w:r>
        <w:rPr>
          <w:rFonts w:hint="eastAsia" w:eastAsia="仿宋_GB2312" w:cs="仿宋_GB2312"/>
          <w:szCs w:val="32"/>
        </w:rPr>
        <w:t>每件作品仅可由1个学院推报，学院在推报前要对参赛团队成员及作品进行相关资格审查。</w:t>
      </w:r>
    </w:p>
    <w:p w14:paraId="0CD5EF5A">
      <w:pPr>
        <w:widowControl/>
        <w:ind w:firstLine="640"/>
        <w:rPr>
          <w:rFonts w:eastAsia="仿宋_GB2312" w:cs="仿宋_GB2312"/>
          <w:szCs w:val="32"/>
        </w:rPr>
      </w:pPr>
      <w:r>
        <w:rPr>
          <w:rFonts w:hint="eastAsia" w:eastAsia="仿宋_GB2312" w:cs="仿宋_GB2312"/>
          <w:szCs w:val="32"/>
        </w:rPr>
        <w:t>每个学院选送参加专项赛的作品数量不设限制，同一作品不得同时参加第二十四届“创新杯”大学生课外学术科技作品竞赛和第二十四届“创新杯”</w:t>
      </w:r>
      <w:r>
        <w:rPr>
          <w:rFonts w:eastAsia="仿宋_GB2312"/>
          <w:color w:val="333333"/>
          <w:kern w:val="0"/>
          <w:szCs w:val="28"/>
          <w:shd w:val="clear" w:color="auto" w:fill="FFFFFF"/>
          <w:lang w:bidi="ar"/>
        </w:rPr>
        <w:t>大学生创业计划竞赛</w:t>
      </w:r>
      <w:r>
        <w:rPr>
          <w:rFonts w:hint="eastAsia" w:eastAsia="仿宋_GB2312" w:cs="仿宋_GB2312"/>
          <w:szCs w:val="32"/>
        </w:rPr>
        <w:t>。已参加第十九届“挑战杯”全国大学生课外学术科技作品竞赛2024年度“揭榜挂帅”专项赛的作品可以继续参加第二十四届“创新杯”揭榜挂帅专项赛。</w:t>
      </w:r>
    </w:p>
    <w:p w14:paraId="064C0F63">
      <w:pPr>
        <w:pStyle w:val="3"/>
        <w:widowControl/>
        <w:spacing w:line="240" w:lineRule="auto"/>
        <w:ind w:firstLine="640"/>
        <w:rPr>
          <w:rFonts w:eastAsia="黑体" w:cs="黑体"/>
          <w:color w:val="000000" w:themeColor="text1"/>
          <w:kern w:val="0"/>
          <w:szCs w:val="22"/>
          <w14:textFill>
            <w14:solidFill>
              <w14:schemeClr w14:val="tx1"/>
            </w14:solidFill>
          </w14:textFill>
        </w:rPr>
      </w:pPr>
      <w:r>
        <w:rPr>
          <w:rFonts w:hint="eastAsia" w:eastAsia="黑体" w:cs="黑体"/>
          <w:color w:val="000000" w:themeColor="text1"/>
          <w:kern w:val="0"/>
          <w:szCs w:val="22"/>
          <w14:textFill>
            <w14:solidFill>
              <w14:schemeClr w14:val="tx1"/>
            </w14:solidFill>
          </w14:textFill>
        </w:rPr>
        <w:t>五、答题要求</w:t>
      </w:r>
    </w:p>
    <w:p w14:paraId="2EF70B94">
      <w:pPr>
        <w:widowControl/>
        <w:ind w:firstLine="640"/>
        <w:rPr>
          <w:rFonts w:eastAsia="仿宋_GB2312" w:cs="仿宋_GB2312"/>
          <w:color w:val="000000" w:themeColor="text1"/>
          <w:kern w:val="0"/>
          <w:szCs w:val="32"/>
          <w14:textFill>
            <w14:solidFill>
              <w14:schemeClr w14:val="tx1"/>
            </w14:solidFill>
          </w14:textFill>
        </w:rPr>
      </w:pPr>
      <w:r>
        <w:rPr>
          <w:rFonts w:hint="eastAsia" w:eastAsia="仿宋_GB2312" w:cs="仿宋_GB2312"/>
          <w:color w:val="000000" w:themeColor="text1"/>
          <w:kern w:val="0"/>
          <w:szCs w:val="32"/>
          <w14:textFill>
            <w14:solidFill>
              <w14:schemeClr w14:val="tx1"/>
            </w14:solidFill>
          </w14:textFill>
        </w:rPr>
        <w:t>参赛者应聚焦“数字时代网络暴力信息的风险治理路径”这一主题，展开调研工作、理论分析和成果撰写。根据选题情况作品主要涵盖以下要求：</w:t>
      </w:r>
    </w:p>
    <w:p w14:paraId="5683F299">
      <w:pPr>
        <w:widowControl/>
        <w:ind w:firstLine="640"/>
        <w:rPr>
          <w:rFonts w:eastAsia="仿宋_GB2312" w:cs="仿宋_GB2312"/>
          <w:color w:val="000000" w:themeColor="text1"/>
          <w:kern w:val="0"/>
          <w:szCs w:val="32"/>
          <w14:textFill>
            <w14:solidFill>
              <w14:schemeClr w14:val="tx1"/>
            </w14:solidFill>
          </w14:textFill>
        </w:rPr>
      </w:pPr>
      <w:r>
        <w:rPr>
          <w:rFonts w:hint="eastAsia" w:eastAsia="仿宋_GB2312" w:cs="仿宋_GB2312"/>
          <w:color w:val="000000" w:themeColor="text1"/>
          <w:kern w:val="0"/>
          <w:szCs w:val="32"/>
          <w14:textFill>
            <w14:solidFill>
              <w14:schemeClr w14:val="tx1"/>
            </w14:solidFill>
          </w14:textFill>
        </w:rPr>
        <w:t>1. 形成数字时代网络暴力信息的风险治理路径研究报告；</w:t>
      </w:r>
    </w:p>
    <w:p w14:paraId="1EFEBC83">
      <w:pPr>
        <w:widowControl/>
        <w:ind w:firstLine="640"/>
        <w:rPr>
          <w:rFonts w:eastAsia="仿宋_GB2312" w:cs="仿宋_GB2312"/>
          <w:color w:val="000000" w:themeColor="text1"/>
          <w:kern w:val="0"/>
          <w:szCs w:val="32"/>
          <w14:textFill>
            <w14:solidFill>
              <w14:schemeClr w14:val="tx1"/>
            </w14:solidFill>
          </w14:textFill>
        </w:rPr>
      </w:pPr>
      <w:r>
        <w:rPr>
          <w:rFonts w:hint="eastAsia" w:eastAsia="仿宋_GB2312" w:cs="仿宋_GB2312"/>
          <w:color w:val="000000" w:themeColor="text1"/>
          <w:kern w:val="0"/>
          <w:szCs w:val="32"/>
          <w14:textFill>
            <w14:solidFill>
              <w14:schemeClr w14:val="tx1"/>
            </w14:solidFill>
          </w14:textFill>
        </w:rPr>
        <w:t>2. 研究报告应当包含国内外相关文献，总结网络暴力信息的主要类型，梳理国内外网络暴力信息治理相关法律法规和典型案例；</w:t>
      </w:r>
    </w:p>
    <w:p w14:paraId="2D92BAC4">
      <w:pPr>
        <w:widowControl/>
        <w:ind w:firstLine="640"/>
        <w:rPr>
          <w:rFonts w:eastAsia="仿宋_GB2312" w:cs="仿宋_GB2312"/>
          <w:color w:val="000000" w:themeColor="text1"/>
          <w:kern w:val="0"/>
          <w:szCs w:val="32"/>
          <w14:textFill>
            <w14:solidFill>
              <w14:schemeClr w14:val="tx1"/>
            </w14:solidFill>
          </w14:textFill>
        </w:rPr>
      </w:pPr>
      <w:r>
        <w:rPr>
          <w:rFonts w:hint="eastAsia" w:eastAsia="仿宋_GB2312" w:cs="仿宋_GB2312"/>
          <w:color w:val="000000" w:themeColor="text1"/>
          <w:kern w:val="0"/>
          <w:szCs w:val="32"/>
          <w14:textFill>
            <w14:solidFill>
              <w14:schemeClr w14:val="tx1"/>
            </w14:solidFill>
          </w14:textFill>
        </w:rPr>
        <w:t>3. 研究报告应当结合数学建模、人工智能技术等交叉学科方法进行量化分析，综合运用不同学科范式；</w:t>
      </w:r>
    </w:p>
    <w:p w14:paraId="7113CE7C">
      <w:pPr>
        <w:widowControl/>
        <w:ind w:firstLine="640"/>
        <w:rPr>
          <w:rFonts w:eastAsia="仿宋_GB2312" w:cs="仿宋_GB2312"/>
          <w:color w:val="000000" w:themeColor="text1"/>
          <w:kern w:val="0"/>
          <w:szCs w:val="32"/>
          <w14:textFill>
            <w14:solidFill>
              <w14:schemeClr w14:val="tx1"/>
            </w14:solidFill>
          </w14:textFill>
        </w:rPr>
      </w:pPr>
      <w:r>
        <w:rPr>
          <w:rFonts w:hint="eastAsia" w:eastAsia="仿宋_GB2312" w:cs="仿宋_GB2312"/>
          <w:color w:val="000000" w:themeColor="text1"/>
          <w:kern w:val="0"/>
          <w:szCs w:val="32"/>
          <w14:textFill>
            <w14:solidFill>
              <w14:schemeClr w14:val="tx1"/>
            </w14:solidFill>
          </w14:textFill>
        </w:rPr>
        <w:t>4. 根据大赛整体时间安排，2024年8月5日前，各参赛团队提交作品。</w:t>
      </w:r>
    </w:p>
    <w:p w14:paraId="1FE570B9">
      <w:pPr>
        <w:pStyle w:val="3"/>
        <w:widowControl/>
        <w:spacing w:line="240" w:lineRule="auto"/>
        <w:ind w:firstLine="640"/>
        <w:rPr>
          <w:rFonts w:eastAsia="黑体" w:cs="黑体"/>
          <w:color w:val="000000" w:themeColor="text1"/>
          <w:kern w:val="0"/>
          <w:szCs w:val="22"/>
          <w14:textFill>
            <w14:solidFill>
              <w14:schemeClr w14:val="tx1"/>
            </w14:solidFill>
          </w14:textFill>
        </w:rPr>
      </w:pPr>
      <w:r>
        <w:rPr>
          <w:rFonts w:hint="eastAsia" w:eastAsia="黑体" w:cs="黑体"/>
          <w:color w:val="000000" w:themeColor="text1"/>
          <w:kern w:val="0"/>
          <w:szCs w:val="22"/>
          <w14:textFill>
            <w14:solidFill>
              <w14:schemeClr w14:val="tx1"/>
            </w14:solidFill>
          </w14:textFill>
        </w:rPr>
        <w:t>六、作品评选</w:t>
      </w:r>
      <w:r>
        <w:rPr>
          <w:rFonts w:hint="eastAsia" w:eastAsia="黑体" w:cs="黑体"/>
          <w:color w:val="000000" w:themeColor="text1"/>
          <w14:textFill>
            <w14:solidFill>
              <w14:schemeClr w14:val="tx1"/>
            </w14:solidFill>
          </w14:textFill>
        </w:rPr>
        <w:t>参考</w:t>
      </w:r>
      <w:r>
        <w:rPr>
          <w:rFonts w:hint="eastAsia" w:eastAsia="黑体" w:cs="黑体"/>
          <w:color w:val="000000" w:themeColor="text1"/>
          <w:kern w:val="0"/>
          <w:szCs w:val="22"/>
          <w14:textFill>
            <w14:solidFill>
              <w14:schemeClr w14:val="tx1"/>
            </w14:solidFill>
          </w14:textFill>
        </w:rPr>
        <w:t>标准</w:t>
      </w:r>
    </w:p>
    <w:p w14:paraId="40221E7B">
      <w:pPr>
        <w:widowControl/>
        <w:ind w:firstLine="640"/>
        <w:rPr>
          <w:rFonts w:eastAsia="仿宋_GB2312" w:cs="仿宋_GB2312"/>
          <w:color w:val="000000" w:themeColor="text1"/>
          <w:kern w:val="0"/>
          <w:szCs w:val="32"/>
          <w14:textFill>
            <w14:solidFill>
              <w14:schemeClr w14:val="tx1"/>
            </w14:solidFill>
          </w14:textFill>
        </w:rPr>
      </w:pPr>
      <w:r>
        <w:rPr>
          <w:rFonts w:hint="eastAsia" w:eastAsia="仿宋_GB2312" w:cs="仿宋_GB2312"/>
          <w:color w:val="000000" w:themeColor="text1"/>
          <w:kern w:val="0"/>
          <w:szCs w:val="32"/>
          <w14:textFill>
            <w14:solidFill>
              <w14:schemeClr w14:val="tx1"/>
            </w14:solidFill>
          </w14:textFill>
        </w:rPr>
        <w:t>1. 基本要求</w:t>
      </w:r>
    </w:p>
    <w:p w14:paraId="77F83424">
      <w:pPr>
        <w:widowControl/>
        <w:ind w:firstLine="640"/>
        <w:rPr>
          <w:rFonts w:eastAsia="仿宋_GB2312" w:cs="仿宋_GB2312"/>
          <w:color w:val="000000" w:themeColor="text1"/>
          <w:kern w:val="0"/>
          <w:szCs w:val="32"/>
          <w14:textFill>
            <w14:solidFill>
              <w14:schemeClr w14:val="tx1"/>
            </w14:solidFill>
          </w14:textFill>
        </w:rPr>
      </w:pPr>
      <w:r>
        <w:rPr>
          <w:rFonts w:hint="eastAsia" w:eastAsia="仿宋_GB2312" w:cs="仿宋_GB2312"/>
          <w:color w:val="000000" w:themeColor="text1"/>
          <w:kern w:val="0"/>
          <w:szCs w:val="32"/>
          <w14:textFill>
            <w14:solidFill>
              <w14:schemeClr w14:val="tx1"/>
            </w14:solidFill>
          </w14:textFill>
        </w:rPr>
        <w:t>（1）研究报告字数不少于2万字，正文重复率不高于30%；</w:t>
      </w:r>
    </w:p>
    <w:p w14:paraId="07F532A8">
      <w:pPr>
        <w:widowControl/>
        <w:ind w:firstLine="640"/>
        <w:rPr>
          <w:rFonts w:eastAsia="仿宋_GB2312" w:cs="仿宋_GB2312"/>
          <w:color w:val="000000" w:themeColor="text1"/>
          <w:kern w:val="0"/>
          <w:szCs w:val="32"/>
          <w14:textFill>
            <w14:solidFill>
              <w14:schemeClr w14:val="tx1"/>
            </w14:solidFill>
          </w14:textFill>
        </w:rPr>
      </w:pPr>
      <w:r>
        <w:rPr>
          <w:rFonts w:hint="eastAsia" w:eastAsia="仿宋_GB2312" w:cs="仿宋_GB2312"/>
          <w:color w:val="000000" w:themeColor="text1"/>
          <w:kern w:val="0"/>
          <w:szCs w:val="32"/>
          <w14:textFill>
            <w14:solidFill>
              <w14:schemeClr w14:val="tx1"/>
            </w14:solidFill>
          </w14:textFill>
        </w:rPr>
        <w:t>（2）作品结构完整、论述完整，符合学术规范要求，数据真实准确，语言流畅，逻辑清晰；</w:t>
      </w:r>
    </w:p>
    <w:p w14:paraId="64A507F5">
      <w:pPr>
        <w:widowControl/>
        <w:ind w:firstLine="640"/>
        <w:rPr>
          <w:rFonts w:eastAsia="仿宋_GB2312" w:cs="仿宋_GB2312"/>
          <w:color w:val="000000" w:themeColor="text1"/>
          <w:kern w:val="0"/>
          <w:szCs w:val="32"/>
          <w14:textFill>
            <w14:solidFill>
              <w14:schemeClr w14:val="tx1"/>
            </w14:solidFill>
          </w14:textFill>
        </w:rPr>
      </w:pPr>
      <w:r>
        <w:rPr>
          <w:rFonts w:hint="eastAsia" w:eastAsia="仿宋_GB2312" w:cs="仿宋_GB2312"/>
          <w:color w:val="000000" w:themeColor="text1"/>
          <w:kern w:val="0"/>
          <w:szCs w:val="32"/>
          <w14:textFill>
            <w14:solidFill>
              <w14:schemeClr w14:val="tx1"/>
            </w14:solidFill>
          </w14:textFill>
        </w:rPr>
        <w:t>（3）作品内容涵盖题目所列举的要点，作品思路合理，贴近客观现实情况，能够回应治理实践的需要，符合答题要求。</w:t>
      </w:r>
    </w:p>
    <w:p w14:paraId="2A2F334C">
      <w:pPr>
        <w:widowControl/>
        <w:ind w:firstLine="640"/>
        <w:rPr>
          <w:rFonts w:eastAsia="仿宋_GB2312" w:cs="仿宋_GB2312"/>
          <w:color w:val="000000" w:themeColor="text1"/>
          <w:kern w:val="0"/>
          <w:szCs w:val="32"/>
          <w14:textFill>
            <w14:solidFill>
              <w14:schemeClr w14:val="tx1"/>
            </w14:solidFill>
          </w14:textFill>
        </w:rPr>
      </w:pPr>
      <w:r>
        <w:rPr>
          <w:rFonts w:hint="eastAsia" w:eastAsia="仿宋_GB2312" w:cs="仿宋_GB2312"/>
          <w:color w:val="000000" w:themeColor="text1"/>
          <w:kern w:val="0"/>
          <w:szCs w:val="32"/>
          <w14:textFill>
            <w14:solidFill>
              <w14:schemeClr w14:val="tx1"/>
            </w14:solidFill>
          </w14:textFill>
        </w:rPr>
        <w:t>2. 优选要求</w:t>
      </w:r>
    </w:p>
    <w:p w14:paraId="6FCFB6A9">
      <w:pPr>
        <w:widowControl/>
        <w:ind w:firstLine="640"/>
        <w:rPr>
          <w:rFonts w:eastAsia="仿宋_GB2312" w:cs="仿宋_GB2312"/>
          <w:color w:val="000000" w:themeColor="text1"/>
          <w:kern w:val="0"/>
          <w:szCs w:val="32"/>
          <w14:textFill>
            <w14:solidFill>
              <w14:schemeClr w14:val="tx1"/>
            </w14:solidFill>
          </w14:textFill>
        </w:rPr>
      </w:pPr>
      <w:r>
        <w:rPr>
          <w:rFonts w:hint="eastAsia" w:eastAsia="仿宋_GB2312" w:cs="仿宋_GB2312"/>
          <w:color w:val="000000" w:themeColor="text1"/>
          <w:kern w:val="0"/>
          <w:szCs w:val="32"/>
          <w14:textFill>
            <w14:solidFill>
              <w14:schemeClr w14:val="tx1"/>
            </w14:solidFill>
          </w14:textFill>
        </w:rPr>
        <w:t>（1）运用网络科学、数据科学、法学、经济学、公共管理、新闻传播学等不同学科的研究范式，开展具有创新性的交叉学科研究；</w:t>
      </w:r>
    </w:p>
    <w:p w14:paraId="0E9F5940">
      <w:pPr>
        <w:widowControl/>
        <w:ind w:firstLine="640"/>
        <w:rPr>
          <w:rFonts w:eastAsia="仿宋_GB2312" w:cs="仿宋_GB2312"/>
          <w:color w:val="000000" w:themeColor="text1"/>
          <w:kern w:val="0"/>
          <w:szCs w:val="32"/>
          <w14:textFill>
            <w14:solidFill>
              <w14:schemeClr w14:val="tx1"/>
            </w14:solidFill>
          </w14:textFill>
        </w:rPr>
      </w:pPr>
      <w:r>
        <w:rPr>
          <w:rFonts w:hint="eastAsia" w:eastAsia="仿宋_GB2312" w:cs="仿宋_GB2312"/>
          <w:color w:val="000000" w:themeColor="text1"/>
          <w:kern w:val="0"/>
          <w:szCs w:val="32"/>
          <w14:textFill>
            <w14:solidFill>
              <w14:schemeClr w14:val="tx1"/>
            </w14:solidFill>
          </w14:textFill>
        </w:rPr>
        <w:t>（2）实地走访或调研平台企业、政府部门等，能够在作品中呈现调研内容，并结合题目进行深入分析；</w:t>
      </w:r>
    </w:p>
    <w:p w14:paraId="122F9670">
      <w:pPr>
        <w:widowControl/>
        <w:ind w:firstLine="640"/>
        <w:rPr>
          <w:rFonts w:eastAsia="仿宋_GB2312" w:cs="仿宋_GB2312"/>
          <w:color w:val="000000" w:themeColor="text1"/>
          <w:kern w:val="0"/>
          <w:szCs w:val="32"/>
          <w14:textFill>
            <w14:solidFill>
              <w14:schemeClr w14:val="tx1"/>
            </w14:solidFill>
          </w14:textFill>
        </w:rPr>
      </w:pPr>
      <w:r>
        <w:rPr>
          <w:rFonts w:hint="eastAsia" w:eastAsia="仿宋_GB2312" w:cs="仿宋_GB2312"/>
          <w:color w:val="000000" w:themeColor="text1"/>
          <w:kern w:val="0"/>
          <w:szCs w:val="32"/>
          <w14:textFill>
            <w14:solidFill>
              <w14:schemeClr w14:val="tx1"/>
            </w14:solidFill>
          </w14:textFill>
        </w:rPr>
        <w:t>（3）作品内容具有独创性、创新性，鼓励以附件形式提交阶段性成果或研究资料，包括但不限于案例梳理、文献综述、调查问卷、调研记录、基础数据等；</w:t>
      </w:r>
    </w:p>
    <w:p w14:paraId="46AB0447">
      <w:pPr>
        <w:widowControl/>
        <w:ind w:firstLine="640"/>
        <w:rPr>
          <w:rFonts w:eastAsia="仿宋_GB2312" w:cs="仿宋_GB2312"/>
          <w:color w:val="000000" w:themeColor="text1"/>
          <w:kern w:val="0"/>
          <w:szCs w:val="32"/>
          <w14:textFill>
            <w14:solidFill>
              <w14:schemeClr w14:val="tx1"/>
            </w14:solidFill>
          </w14:textFill>
        </w:rPr>
      </w:pPr>
      <w:r>
        <w:rPr>
          <w:rFonts w:hint="eastAsia" w:eastAsia="仿宋_GB2312" w:cs="仿宋_GB2312"/>
          <w:color w:val="000000" w:themeColor="text1"/>
          <w:kern w:val="0"/>
          <w:szCs w:val="32"/>
          <w14:textFill>
            <w14:solidFill>
              <w14:schemeClr w14:val="tx1"/>
            </w14:solidFill>
          </w14:textFill>
        </w:rPr>
        <w:t>（4）提出具有针对性、可行性的治理建议，能够在实践中落地转化。</w:t>
      </w:r>
    </w:p>
    <w:p w14:paraId="29CFFD79">
      <w:pPr>
        <w:pStyle w:val="3"/>
        <w:widowControl/>
        <w:spacing w:line="240" w:lineRule="auto"/>
        <w:ind w:firstLine="640"/>
        <w:rPr>
          <w:rFonts w:eastAsia="黑体" w:cs="黑体"/>
          <w:color w:val="000000" w:themeColor="text1"/>
          <w:kern w:val="0"/>
          <w:szCs w:val="22"/>
          <w14:textFill>
            <w14:solidFill>
              <w14:schemeClr w14:val="tx1"/>
            </w14:solidFill>
          </w14:textFill>
        </w:rPr>
      </w:pPr>
      <w:r>
        <w:rPr>
          <w:rFonts w:hint="eastAsia" w:eastAsia="黑体" w:cs="黑体"/>
          <w:color w:val="000000" w:themeColor="text1"/>
          <w:kern w:val="0"/>
          <w:szCs w:val="22"/>
          <w14:textFill>
            <w14:solidFill>
              <w14:schemeClr w14:val="tx1"/>
            </w14:solidFill>
          </w14:textFill>
        </w:rPr>
        <w:t>七、</w:t>
      </w:r>
      <w:r>
        <w:rPr>
          <w:rFonts w:hint="eastAsia" w:eastAsia="黑体" w:cs="黑体"/>
          <w:color w:val="000000" w:themeColor="text1"/>
          <w14:textFill>
            <w14:solidFill>
              <w14:schemeClr w14:val="tx1"/>
            </w14:solidFill>
          </w14:textFill>
        </w:rPr>
        <w:t>作品提交及评审安排</w:t>
      </w:r>
    </w:p>
    <w:p w14:paraId="25828C9B">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各学院于2024年10月前进行作品申报及其作者的资格及形式审查，并组成本学院评审委员会</w:t>
      </w:r>
      <w:r>
        <w:rPr>
          <w:rFonts w:hint="eastAsia" w:eastAsia="仿宋_GB2312" w:cs="仿宋_GB2312"/>
          <w:sz w:val="32"/>
          <w:szCs w:val="32"/>
          <w:lang w:val="en-US"/>
        </w:rPr>
        <w:t>。</w:t>
      </w:r>
    </w:p>
    <w:p w14:paraId="1C58DC25">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各学院评审委员会于2024年1</w:t>
      </w:r>
      <w:r>
        <w:rPr>
          <w:rFonts w:hint="eastAsia" w:eastAsia="仿宋_GB2312" w:cs="仿宋_GB2312"/>
          <w:sz w:val="32"/>
          <w:szCs w:val="32"/>
          <w:lang w:val="en-US"/>
        </w:rPr>
        <w:t>0</w:t>
      </w:r>
      <w:r>
        <w:rPr>
          <w:rFonts w:eastAsia="仿宋_GB2312" w:cs="仿宋_GB2312"/>
          <w:sz w:val="32"/>
          <w:szCs w:val="32"/>
          <w:lang w:val="en-US"/>
        </w:rPr>
        <w:t>月底前完成对本学院申报作品的院级选拔赛，择优挑选作品，于2024年1</w:t>
      </w:r>
      <w:r>
        <w:rPr>
          <w:rFonts w:hint="eastAsia" w:eastAsia="仿宋_GB2312" w:cs="仿宋_GB2312"/>
          <w:sz w:val="32"/>
          <w:szCs w:val="32"/>
          <w:lang w:val="en-US"/>
        </w:rPr>
        <w:t>1</w:t>
      </w:r>
      <w:r>
        <w:rPr>
          <w:rFonts w:eastAsia="仿宋_GB2312" w:cs="仿宋_GB2312"/>
          <w:sz w:val="32"/>
          <w:szCs w:val="32"/>
          <w:lang w:val="en-US"/>
        </w:rPr>
        <w:t>月</w:t>
      </w:r>
      <w:r>
        <w:rPr>
          <w:rFonts w:hint="eastAsia" w:eastAsia="仿宋_GB2312" w:cs="仿宋_GB2312"/>
          <w:sz w:val="32"/>
          <w:szCs w:val="32"/>
          <w:lang w:val="en-US"/>
        </w:rPr>
        <w:t>8日前</w:t>
      </w:r>
      <w:r>
        <w:rPr>
          <w:rFonts w:eastAsia="仿宋_GB2312" w:cs="仿宋_GB2312"/>
          <w:sz w:val="32"/>
          <w:szCs w:val="32"/>
          <w:lang w:val="en-US"/>
        </w:rPr>
        <w:t>，向校组委会办公室（办公地点设在南湖校区立德楼团委403室）交送书面的作品申报书（附件</w:t>
      </w:r>
      <w:r>
        <w:rPr>
          <w:rFonts w:hint="eastAsia" w:eastAsia="仿宋_GB2312" w:cs="仿宋_GB2312"/>
          <w:sz w:val="32"/>
          <w:szCs w:val="32"/>
          <w:lang w:val="en-US" w:eastAsia="zh-CN"/>
        </w:rPr>
        <w:t>11</w:t>
      </w:r>
      <w:r>
        <w:rPr>
          <w:rFonts w:eastAsia="仿宋_GB2312" w:cs="仿宋_GB2312"/>
          <w:sz w:val="32"/>
          <w:szCs w:val="32"/>
          <w:lang w:val="en-US"/>
        </w:rPr>
        <w:t>）及作品汇总登记表（附件1</w:t>
      </w:r>
      <w:r>
        <w:rPr>
          <w:rFonts w:hint="eastAsia" w:eastAsia="仿宋_GB2312" w:cs="仿宋_GB2312"/>
          <w:sz w:val="32"/>
          <w:szCs w:val="32"/>
          <w:lang w:val="en-US" w:eastAsia="zh-CN"/>
        </w:rPr>
        <w:t>2</w:t>
      </w:r>
      <w:r>
        <w:rPr>
          <w:rFonts w:eastAsia="仿宋_GB2312" w:cs="仿宋_GB2312"/>
          <w:sz w:val="32"/>
          <w:szCs w:val="32"/>
          <w:lang w:val="en-US"/>
        </w:rPr>
        <w:t>），电子版发送至校科协邮箱</w:t>
      </w:r>
      <w:r>
        <w:fldChar w:fldCharType="begin"/>
      </w:r>
      <w:r>
        <w:instrText xml:space="preserve"> HYPERLINK "mailto:wutxskx@163.com。" </w:instrText>
      </w:r>
      <w:r>
        <w:fldChar w:fldCharType="separate"/>
      </w:r>
      <w:r>
        <w:rPr>
          <w:rStyle w:val="10"/>
          <w:rFonts w:eastAsia="仿宋_GB2312" w:cs="仿宋_GB2312"/>
          <w:sz w:val="32"/>
          <w:szCs w:val="32"/>
          <w:lang w:val="en-US"/>
        </w:rPr>
        <w:t>wutxs</w:t>
      </w:r>
      <w:bookmarkStart w:id="0" w:name="_GoBack"/>
      <w:r>
        <w:rPr>
          <w:rStyle w:val="10"/>
          <w:rFonts w:eastAsia="仿宋_GB2312" w:cs="仿宋_GB2312"/>
          <w:sz w:val="32"/>
          <w:szCs w:val="32"/>
          <w:lang w:val="en-US"/>
        </w:rPr>
        <w:t>kx@</w:t>
      </w:r>
      <w:bookmarkEnd w:id="0"/>
      <w:r>
        <w:rPr>
          <w:rStyle w:val="10"/>
          <w:rFonts w:eastAsia="仿宋_GB2312" w:cs="仿宋_GB2312"/>
          <w:sz w:val="32"/>
          <w:szCs w:val="32"/>
          <w:lang w:val="en-US"/>
        </w:rPr>
        <w:t>163.com。</w:t>
      </w:r>
      <w:r>
        <w:rPr>
          <w:rStyle w:val="10"/>
          <w:rFonts w:eastAsia="仿宋_GB2312" w:cs="仿宋_GB2312"/>
          <w:sz w:val="32"/>
          <w:szCs w:val="32"/>
          <w:lang w:val="en-US"/>
        </w:rPr>
        <w:fldChar w:fldCharType="end"/>
      </w:r>
    </w:p>
    <w:p w14:paraId="28E9CDCD">
      <w:pPr>
        <w:spacing w:line="560" w:lineRule="exact"/>
        <w:ind w:firstLine="640" w:firstLineChars="200"/>
        <w:jc w:val="both"/>
      </w:pPr>
      <w:r>
        <w:rPr>
          <w:rFonts w:eastAsia="仿宋_GB2312" w:cs="仿宋_GB2312"/>
          <w:sz w:val="32"/>
          <w:szCs w:val="32"/>
          <w:lang w:val="en-US"/>
        </w:rPr>
        <w:t>2024年11月</w:t>
      </w:r>
      <w:r>
        <w:rPr>
          <w:rFonts w:hint="eastAsia" w:eastAsia="仿宋_GB2312" w:cs="仿宋_GB2312"/>
          <w:sz w:val="32"/>
          <w:szCs w:val="32"/>
          <w:lang w:val="en-US"/>
        </w:rPr>
        <w:t>中旬</w:t>
      </w:r>
      <w:r>
        <w:rPr>
          <w:rFonts w:eastAsia="仿宋_GB2312" w:cs="仿宋_GB2312"/>
          <w:sz w:val="32"/>
          <w:szCs w:val="32"/>
          <w:lang w:val="en-US"/>
        </w:rPr>
        <w:t>至2024年12月</w:t>
      </w:r>
      <w:r>
        <w:rPr>
          <w:rFonts w:hint="eastAsia" w:eastAsia="仿宋_GB2312" w:cs="仿宋_GB2312"/>
          <w:sz w:val="32"/>
          <w:szCs w:val="32"/>
          <w:lang w:val="en-US"/>
        </w:rPr>
        <w:t>中旬，校评审委员会对作品进行书面评审</w:t>
      </w:r>
      <w:r>
        <w:rPr>
          <w:rFonts w:eastAsia="仿宋_GB2312" w:cs="仿宋_GB2312"/>
          <w:sz w:val="32"/>
          <w:szCs w:val="32"/>
          <w:lang w:val="en-US"/>
        </w:rPr>
        <w:t>、对入围终审决赛项目进行公开答辩</w:t>
      </w:r>
      <w:r>
        <w:rPr>
          <w:rFonts w:hint="eastAsia" w:eastAsia="仿宋_GB2312" w:cs="仿宋_GB2312"/>
          <w:sz w:val="32"/>
          <w:szCs w:val="32"/>
          <w:lang w:val="en-US"/>
        </w:rPr>
        <w:t>。</w:t>
      </w:r>
    </w:p>
    <w:sectPr>
      <w:headerReference r:id="rId7" w:type="first"/>
      <w:footerReference r:id="rId10" w:type="first"/>
      <w:headerReference r:id="rId5" w:type="default"/>
      <w:footerReference r:id="rId8" w:type="default"/>
      <w:headerReference r:id="rId6" w:type="even"/>
      <w:footerReference r:id="rId9" w:type="even"/>
      <w:pgSz w:w="11906" w:h="16838"/>
      <w:pgMar w:top="1984" w:right="1587" w:bottom="1984" w:left="158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altName w:val="微软雅黑"/>
    <w:panose1 w:val="00000000000000000000"/>
    <w:charset w:val="86"/>
    <w:family w:val="auto"/>
    <w:pitch w:val="default"/>
    <w:sig w:usb0="00000000" w:usb1="00000000" w:usb2="00082016" w:usb3="00000000" w:csb0="00040001" w:csb1="00000000"/>
  </w:font>
  <w:font w:name="方正黑体_GBK">
    <w:altName w:val="微软雅黑"/>
    <w:panose1 w:val="00000000000000000000"/>
    <w:charset w:val="86"/>
    <w:family w:val="auto"/>
    <w:pitch w:val="default"/>
    <w:sig w:usb0="00000000" w:usb1="00000000" w:usb2="00082016" w:usb3="00000000" w:csb0="00040001" w:csb1="00000000"/>
  </w:font>
  <w:font w:name="方正楷体_GBK">
    <w:altName w:val="微软雅黑"/>
    <w:panose1 w:val="00000000000000000000"/>
    <w:charset w:val="86"/>
    <w:family w:val="auto"/>
    <w:pitch w:val="default"/>
    <w:sig w:usb0="00000000" w:usb1="00000000" w:usb2="00082016"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FB222">
    <w:pPr>
      <w:pStyle w:val="6"/>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3061C6">
                          <w:pPr>
                            <w:pStyle w:val="6"/>
                            <w:ind w:firstLine="0" w:firstLineChars="0"/>
                            <w:jc w:val="center"/>
                            <w:rPr>
                              <w:sz w:val="24"/>
                            </w:rPr>
                          </w:pPr>
                          <w:r>
                            <w:rPr>
                              <w:sz w:val="24"/>
                            </w:rPr>
                            <w:fldChar w:fldCharType="begin"/>
                          </w:r>
                          <w:r>
                            <w:rPr>
                              <w:sz w:val="24"/>
                            </w:rPr>
                            <w:instrText xml:space="preserve"> PAGE  \* MERGEFORMAT </w:instrText>
                          </w:r>
                          <w:r>
                            <w:rPr>
                              <w:sz w:val="24"/>
                            </w:rPr>
                            <w:fldChar w:fldCharType="separate"/>
                          </w:r>
                          <w:r>
                            <w:rPr>
                              <w:sz w:val="24"/>
                            </w:rPr>
                            <w:t>1</w:t>
                          </w:r>
                          <w:r>
                            <w:rPr>
                              <w:sz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43061C6">
                    <w:pPr>
                      <w:pStyle w:val="6"/>
                      <w:ind w:firstLine="0" w:firstLineChars="0"/>
                      <w:jc w:val="center"/>
                      <w:rPr>
                        <w:sz w:val="24"/>
                      </w:rPr>
                    </w:pPr>
                    <w:r>
                      <w:rPr>
                        <w:sz w:val="24"/>
                      </w:rPr>
                      <w:fldChar w:fldCharType="begin"/>
                    </w:r>
                    <w:r>
                      <w:rPr>
                        <w:sz w:val="24"/>
                      </w:rPr>
                      <w:instrText xml:space="preserve"> PAGE  \* MERGEFORMAT </w:instrText>
                    </w:r>
                    <w:r>
                      <w:rPr>
                        <w:sz w:val="24"/>
                      </w:rPr>
                      <w:fldChar w:fldCharType="separate"/>
                    </w:r>
                    <w:r>
                      <w:rPr>
                        <w:sz w:val="24"/>
                      </w:rPr>
                      <w:t>1</w:t>
                    </w:r>
                    <w:r>
                      <w:rPr>
                        <w:sz w:val="24"/>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4E676F">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9C1001">
    <w:pPr>
      <w:pStyle w:val="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7B2DA">
    <w:pPr>
      <w:pStyle w:val="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14381E">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08FFF3">
    <w:pPr>
      <w:pStyle w:val="7"/>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2OGM1NTVhMWZkYzAxODEwYjA0ZDliMzMwYzM3NTAifQ=="/>
  </w:docVars>
  <w:rsids>
    <w:rsidRoot w:val="11D11C82"/>
    <w:rsid w:val="001811EB"/>
    <w:rsid w:val="004127E4"/>
    <w:rsid w:val="009F7616"/>
    <w:rsid w:val="00EB3B73"/>
    <w:rsid w:val="00FA3A34"/>
    <w:rsid w:val="023E028C"/>
    <w:rsid w:val="03B56D48"/>
    <w:rsid w:val="04335DA6"/>
    <w:rsid w:val="0458764A"/>
    <w:rsid w:val="05B809C8"/>
    <w:rsid w:val="05F31C91"/>
    <w:rsid w:val="07411EA3"/>
    <w:rsid w:val="09B72FD5"/>
    <w:rsid w:val="0AE15667"/>
    <w:rsid w:val="0DDF432E"/>
    <w:rsid w:val="0E480FA0"/>
    <w:rsid w:val="0F20205A"/>
    <w:rsid w:val="0F9F6761"/>
    <w:rsid w:val="0FED38B1"/>
    <w:rsid w:val="11D11C82"/>
    <w:rsid w:val="13DC573D"/>
    <w:rsid w:val="146E0EF0"/>
    <w:rsid w:val="197B65C3"/>
    <w:rsid w:val="19A30E80"/>
    <w:rsid w:val="1A0E3A17"/>
    <w:rsid w:val="1B644941"/>
    <w:rsid w:val="1CF739BD"/>
    <w:rsid w:val="1E7A5314"/>
    <w:rsid w:val="1FF16DE9"/>
    <w:rsid w:val="24DE7579"/>
    <w:rsid w:val="24EE1D3D"/>
    <w:rsid w:val="26751DF6"/>
    <w:rsid w:val="2B996587"/>
    <w:rsid w:val="2DD520C3"/>
    <w:rsid w:val="2F6526E8"/>
    <w:rsid w:val="2F9318AE"/>
    <w:rsid w:val="2F947791"/>
    <w:rsid w:val="30CD2F5B"/>
    <w:rsid w:val="31CC58C7"/>
    <w:rsid w:val="31EF6F01"/>
    <w:rsid w:val="32986D12"/>
    <w:rsid w:val="32FD5DE3"/>
    <w:rsid w:val="33482CD4"/>
    <w:rsid w:val="35931789"/>
    <w:rsid w:val="36FA32EA"/>
    <w:rsid w:val="36FB462F"/>
    <w:rsid w:val="384C1A5C"/>
    <w:rsid w:val="3ADB0022"/>
    <w:rsid w:val="3C445749"/>
    <w:rsid w:val="3D2A5291"/>
    <w:rsid w:val="3E4203B8"/>
    <w:rsid w:val="3F7F7B16"/>
    <w:rsid w:val="40C83F6A"/>
    <w:rsid w:val="42734FE4"/>
    <w:rsid w:val="43B81849"/>
    <w:rsid w:val="46C8272C"/>
    <w:rsid w:val="473C23F6"/>
    <w:rsid w:val="47FB61A8"/>
    <w:rsid w:val="48BC79DD"/>
    <w:rsid w:val="48CE11C6"/>
    <w:rsid w:val="48D22655"/>
    <w:rsid w:val="48FA7BF0"/>
    <w:rsid w:val="491C4628"/>
    <w:rsid w:val="495810E0"/>
    <w:rsid w:val="4A9257A3"/>
    <w:rsid w:val="4B247E30"/>
    <w:rsid w:val="4D266991"/>
    <w:rsid w:val="4E4E4A3B"/>
    <w:rsid w:val="4F840831"/>
    <w:rsid w:val="52AA5704"/>
    <w:rsid w:val="5333593E"/>
    <w:rsid w:val="55086FD1"/>
    <w:rsid w:val="58105161"/>
    <w:rsid w:val="587F28BB"/>
    <w:rsid w:val="589869B1"/>
    <w:rsid w:val="5B9E71EA"/>
    <w:rsid w:val="5C447CC6"/>
    <w:rsid w:val="5C8C6A67"/>
    <w:rsid w:val="5D032B22"/>
    <w:rsid w:val="5D875D92"/>
    <w:rsid w:val="5E551EED"/>
    <w:rsid w:val="5E6A778C"/>
    <w:rsid w:val="60A30D33"/>
    <w:rsid w:val="64903BAD"/>
    <w:rsid w:val="65B37C6A"/>
    <w:rsid w:val="66C2008A"/>
    <w:rsid w:val="679E5658"/>
    <w:rsid w:val="688B0A2A"/>
    <w:rsid w:val="68925915"/>
    <w:rsid w:val="694B431B"/>
    <w:rsid w:val="69635D65"/>
    <w:rsid w:val="6A9D453B"/>
    <w:rsid w:val="6C6163F6"/>
    <w:rsid w:val="6D442E0D"/>
    <w:rsid w:val="6D616425"/>
    <w:rsid w:val="70EC43DB"/>
    <w:rsid w:val="713D6842"/>
    <w:rsid w:val="725C754F"/>
    <w:rsid w:val="73013DC3"/>
    <w:rsid w:val="737F73DD"/>
    <w:rsid w:val="749E1052"/>
    <w:rsid w:val="756C4BD1"/>
    <w:rsid w:val="75B73335"/>
    <w:rsid w:val="75DA08FB"/>
    <w:rsid w:val="761041E3"/>
    <w:rsid w:val="763D5388"/>
    <w:rsid w:val="7662101C"/>
    <w:rsid w:val="76805946"/>
    <w:rsid w:val="77EA0066"/>
    <w:rsid w:val="78925296"/>
    <w:rsid w:val="78A10A94"/>
    <w:rsid w:val="78C77290"/>
    <w:rsid w:val="78FC75BF"/>
    <w:rsid w:val="79B23B36"/>
    <w:rsid w:val="7A334F27"/>
    <w:rsid w:val="7A4B1DC7"/>
    <w:rsid w:val="7AF72185"/>
    <w:rsid w:val="7B612EBC"/>
    <w:rsid w:val="7DE6133B"/>
    <w:rsid w:val="7F3C3F73"/>
    <w:rsid w:val="7F6E43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560" w:lineRule="exact"/>
      <w:ind w:firstLine="720" w:firstLineChars="200"/>
      <w:jc w:val="both"/>
    </w:pPr>
    <w:rPr>
      <w:rFonts w:ascii="Times New Roman" w:hAnsi="Times New Roman" w:eastAsia="方正仿宋_GBK" w:cstheme="minorBidi"/>
      <w:kern w:val="2"/>
      <w:sz w:val="32"/>
      <w:szCs w:val="24"/>
      <w:lang w:val="en-US" w:eastAsia="zh-CN" w:bidi="ar-SA"/>
    </w:rPr>
  </w:style>
  <w:style w:type="paragraph" w:styleId="2">
    <w:name w:val="heading 1"/>
    <w:basedOn w:val="1"/>
    <w:next w:val="1"/>
    <w:autoRedefine/>
    <w:qFormat/>
    <w:uiPriority w:val="0"/>
    <w:pPr>
      <w:keepNext/>
      <w:keepLines/>
      <w:outlineLvl w:val="0"/>
    </w:pPr>
    <w:rPr>
      <w:rFonts w:eastAsia="方正黑体_GBK"/>
      <w:kern w:val="44"/>
    </w:rPr>
  </w:style>
  <w:style w:type="paragraph" w:styleId="3">
    <w:name w:val="heading 2"/>
    <w:basedOn w:val="1"/>
    <w:next w:val="1"/>
    <w:autoRedefine/>
    <w:unhideWhenUsed/>
    <w:qFormat/>
    <w:uiPriority w:val="0"/>
    <w:pPr>
      <w:keepNext/>
      <w:keepLines/>
      <w:outlineLvl w:val="1"/>
    </w:pPr>
    <w:rPr>
      <w:rFonts w:eastAsia="方正楷体_GBK" w:cs="Times New Roman"/>
    </w:rPr>
  </w:style>
  <w:style w:type="paragraph" w:styleId="4">
    <w:name w:val="heading 3"/>
    <w:basedOn w:val="1"/>
    <w:next w:val="1"/>
    <w:autoRedefine/>
    <w:semiHidden/>
    <w:unhideWhenUsed/>
    <w:qFormat/>
    <w:uiPriority w:val="0"/>
    <w:pPr>
      <w:keepNext/>
      <w:keepLines/>
      <w:spacing w:before="50" w:beforeLines="50" w:after="50" w:afterLines="50" w:line="360" w:lineRule="auto"/>
      <w:outlineLvl w:val="2"/>
    </w:pPr>
    <w:rPr>
      <w:rFonts w:eastAsia="仿宋"/>
      <w:b/>
      <w:sz w:val="28"/>
    </w:rPr>
  </w:style>
  <w:style w:type="paragraph" w:styleId="5">
    <w:name w:val="heading 5"/>
    <w:basedOn w:val="1"/>
    <w:next w:val="1"/>
    <w:autoRedefine/>
    <w:semiHidden/>
    <w:unhideWhenUsed/>
    <w:qFormat/>
    <w:uiPriority w:val="0"/>
    <w:pPr>
      <w:keepNext/>
      <w:keepLines/>
      <w:spacing w:before="50" w:beforeLines="50" w:after="50" w:afterLines="50" w:line="360" w:lineRule="auto"/>
      <w:outlineLvl w:val="4"/>
    </w:pPr>
    <w:rPr>
      <w:rFonts w:eastAsia="宋体"/>
      <w:b/>
      <w:sz w:val="2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character" w:styleId="10">
    <w:name w:val="Hyperlink"/>
    <w:basedOn w:val="9"/>
    <w:autoRedefine/>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1949</Words>
  <Characters>2013</Characters>
  <Lines>14</Lines>
  <Paragraphs>4</Paragraphs>
  <TotalTime>0</TotalTime>
  <ScaleCrop>false</ScaleCrop>
  <LinksUpToDate>false</LinksUpToDate>
  <CharactersWithSpaces>2024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2024-09-24T12:42:00Z</dcterms:created>
  <dc:creator>treegogo</dc:creator>
  <cp:lastModifiedBy>金阳</cp:lastModifiedBy>
  <dcterms:modified xsi:type="dcterms:W3CDTF">2024-09-25T09:23:35Z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63EED9337FD044D58132F91F7FE43296_13</vt:lpwstr>
  </property>
</Properties>
</file>