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E82D7">
      <w:pPr>
        <w:pStyle w:val="2"/>
        <w:widowControl/>
        <w:spacing w:beforeAutospacing="0" w:afterAutospacing="0" w:line="560" w:lineRule="exact"/>
        <w:jc w:val="left"/>
        <w:rPr>
          <w:rFonts w:hint="default" w:ascii="Times New Roman" w:hAnsi="Times New Roman" w:eastAsia="仿宋_GB2312" w:cs="仿宋_GB2312"/>
          <w:b w:val="0"/>
          <w:bCs w:val="0"/>
          <w:color w:val="000000" w:themeColor="text1"/>
          <w:sz w:val="32"/>
          <w:szCs w:val="32"/>
          <w14:textFill>
            <w14:solidFill>
              <w14:schemeClr w14:val="tx1"/>
            </w14:solidFill>
          </w14:textFill>
          <w14:ligatures w14:val="none"/>
        </w:rPr>
      </w:pPr>
      <w:r>
        <w:rPr>
          <w:rFonts w:hint="default" w:ascii="Times New Roman" w:hAnsi="Times New Roman" w:eastAsia="仿宋_GB2312" w:cs="仿宋_GB2312"/>
          <w:b w:val="0"/>
          <w:bCs w:val="0"/>
          <w:color w:val="000000" w:themeColor="text1"/>
          <w:sz w:val="32"/>
          <w:szCs w:val="32"/>
          <w14:textFill>
            <w14:solidFill>
              <w14:schemeClr w14:val="tx1"/>
            </w14:solidFill>
          </w14:textFill>
          <w14:ligatures w14:val="none"/>
        </w:rPr>
        <w:t>题目</w:t>
      </w:r>
      <w:r>
        <w:rPr>
          <w:rFonts w:ascii="Times New Roman" w:hAnsi="Times New Roman" w:eastAsia="仿宋_GB2312" w:cs="仿宋_GB2312"/>
          <w:b w:val="0"/>
          <w:bCs w:val="0"/>
          <w:color w:val="000000" w:themeColor="text1"/>
          <w:sz w:val="32"/>
          <w:szCs w:val="32"/>
          <w14:textFill>
            <w14:solidFill>
              <w14:schemeClr w14:val="tx1"/>
            </w14:solidFill>
          </w14:textFill>
          <w14:ligatures w14:val="none"/>
        </w:rPr>
        <w:t>54：</w:t>
      </w:r>
    </w:p>
    <w:p w14:paraId="3E250282">
      <w:pPr>
        <w:pStyle w:val="2"/>
        <w:widowControl/>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14:ligatures w14:val="none"/>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14:ligatures w14:val="none"/>
        </w:rPr>
        <w:t>“青年参与乡村全面振兴的路径探索</w:t>
      </w:r>
    </w:p>
    <w:p w14:paraId="38724635">
      <w:pPr>
        <w:pStyle w:val="2"/>
        <w:widowControl/>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14:ligatures w14:val="none"/>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14:ligatures w14:val="none"/>
        </w:rPr>
        <w:t>和实践研究”比赛方案</w:t>
      </w:r>
    </w:p>
    <w:p w14:paraId="52765141">
      <w:pPr>
        <w:widowControl/>
        <w:jc w:val="center"/>
        <w:rPr>
          <w:rFonts w:ascii="Times New Roman" w:hAnsi="Times New Roman" w:eastAsia="楷体_GB2312" w:cs="楷体_GB2312"/>
          <w:color w:val="000000" w:themeColor="text1"/>
          <w:kern w:val="0"/>
          <w:sz w:val="32"/>
          <w:szCs w:val="32"/>
          <w14:textFill>
            <w14:solidFill>
              <w14:schemeClr w14:val="tx1"/>
            </w14:solidFill>
          </w14:textFill>
          <w14:ligatures w14:val="none"/>
        </w:rPr>
      </w:pPr>
      <w:r>
        <w:rPr>
          <w:rFonts w:ascii="Times New Roman" w:hAnsi="Times New Roman" w:eastAsia="楷体_GB2312" w:cs="楷体_GB2312"/>
          <w:color w:val="000000" w:themeColor="text1"/>
          <w:kern w:val="0"/>
          <w:sz w:val="32"/>
          <w:szCs w:val="32"/>
          <w14:textFill>
            <w14:solidFill>
              <w14:schemeClr w14:val="tx1"/>
            </w14:solidFill>
          </w14:textFill>
          <w14:ligatures w14:val="none"/>
        </w:rPr>
        <w:t>（中国青少年研究中心）</w:t>
      </w:r>
    </w:p>
    <w:p w14:paraId="5E64E001">
      <w:pPr>
        <w:spacing w:line="560" w:lineRule="exact"/>
        <w:rPr>
          <w:rFonts w:ascii="Times New Roman" w:hAnsi="Times New Roman" w:eastAsia="方正仿宋_GBK" w:cs="Times New Roman"/>
          <w:sz w:val="32"/>
          <w:szCs w:val="32"/>
        </w:rPr>
      </w:pPr>
    </w:p>
    <w:p w14:paraId="4F644D6E">
      <w:pPr>
        <w:pStyle w:val="3"/>
        <w:numPr>
          <w:ilvl w:val="0"/>
          <w:numId w:val="0"/>
        </w:numPr>
        <w:spacing w:line="240" w:lineRule="auto"/>
        <w:ind w:firstLine="640" w:firstLineChars="200"/>
        <w:jc w:val="both"/>
        <w:rPr>
          <w:rFonts w:ascii="Times New Roman" w:hAnsi="Times New Roman" w:eastAsia="黑体" w:cs="黑体"/>
        </w:rPr>
      </w:pPr>
      <w:r>
        <w:rPr>
          <w:rFonts w:ascii="Times New Roman" w:hAnsi="Times New Roman" w:eastAsia="黑体" w:cs="黑体"/>
        </w:rPr>
        <w:t>一、</w:t>
      </w:r>
      <w:r>
        <w:rPr>
          <w:rFonts w:hint="eastAsia" w:ascii="Times New Roman" w:hAnsi="Times New Roman" w:eastAsia="黑体" w:cs="黑体"/>
        </w:rPr>
        <w:t>出题</w:t>
      </w:r>
      <w:r>
        <w:rPr>
          <w:rFonts w:ascii="Times New Roman" w:hAnsi="Times New Roman" w:eastAsia="黑体" w:cs="黑体"/>
        </w:rPr>
        <w:t>单位</w:t>
      </w:r>
    </w:p>
    <w:p w14:paraId="163260E5">
      <w:pPr>
        <w:widowControl/>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中国青少年研究中心</w:t>
      </w:r>
    </w:p>
    <w:p w14:paraId="602C99C1">
      <w:pPr>
        <w:pStyle w:val="3"/>
        <w:numPr>
          <w:ilvl w:val="0"/>
          <w:numId w:val="0"/>
        </w:numPr>
        <w:spacing w:line="240" w:lineRule="auto"/>
        <w:ind w:firstLine="640" w:firstLineChars="200"/>
        <w:jc w:val="both"/>
        <w:rPr>
          <w:rFonts w:ascii="Times New Roman" w:hAnsi="Times New Roman" w:eastAsia="黑体" w:cs="黑体"/>
        </w:rPr>
      </w:pPr>
      <w:r>
        <w:rPr>
          <w:rFonts w:ascii="Times New Roman" w:hAnsi="Times New Roman" w:eastAsia="黑体" w:cs="黑体"/>
        </w:rPr>
        <w:t>二、题目名称</w:t>
      </w:r>
    </w:p>
    <w:p w14:paraId="18F5CA1D">
      <w:pPr>
        <w:widowControl/>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青年参与乡村全面振兴的路径探索和实践研究</w:t>
      </w:r>
    </w:p>
    <w:p w14:paraId="62FA9B7B">
      <w:pPr>
        <w:pStyle w:val="3"/>
        <w:numPr>
          <w:ilvl w:val="0"/>
          <w:numId w:val="0"/>
        </w:numPr>
        <w:spacing w:line="240" w:lineRule="auto"/>
        <w:ind w:firstLine="640" w:firstLineChars="200"/>
        <w:jc w:val="both"/>
        <w:rPr>
          <w:rFonts w:ascii="Times New Roman" w:hAnsi="Times New Roman" w:eastAsia="黑体" w:cs="黑体"/>
        </w:rPr>
      </w:pPr>
      <w:r>
        <w:rPr>
          <w:rFonts w:ascii="Times New Roman" w:hAnsi="Times New Roman" w:eastAsia="黑体" w:cs="黑体"/>
        </w:rPr>
        <w:t>三、题目介绍</w:t>
      </w:r>
    </w:p>
    <w:p w14:paraId="1C338236">
      <w:pPr>
        <w:widowControl/>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全面推进乡村振兴、加快建设农业强国，是党中央着眼以中国式现代化全面推进中华民族伟大复兴的重大战略部署。在实施乡村振兴战略中，人才是关键性力量，作为“社会中最有生气、最有闯劲、最少保守思想的群体”更应发挥先锋作用。习近平总书记在同团中央新一届领导班子集体谈话时指出，“组织动员广大青年立足本职岗位，积极投身中国式现代化建设，在科技创新、乡村振兴、绿色发展、社会服务、卫国戍边等各领域争当排头兵和生力军。”本项目聚焦青年参与乡村全面振兴这一重要主题，拟通过分析参与现状、存在的问题以及深层次原因，从学理和实践层面探寻青年扎根乡村、服务乡村的路径方法，为广大青年在中国式现代化建设中挺膺担当提出可行性方案。</w:t>
      </w:r>
    </w:p>
    <w:p w14:paraId="27293BEA">
      <w:pPr>
        <w:widowControl/>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参赛团队应注重该研究的系统性、全局性和战略性，要从产业振兴、人才振兴、文化振兴、生态振兴和组织振兴角度，全面分析青年参与乡村振兴的重大意义、逻辑基础、现状困境，探索构建乡村全面振兴的青年参与机制。研究需具备一定的理论深度、国际视野和实践支撑，在研究方法上应有所突破，可综合采取访谈、问卷调查、田野调查以及网络抓取等大数据的分析方法来具体推进。在研究视角上要注重多学科的有效配合，多角度挖掘创新案例和实践路径。研究中提出的观点要言之有据，政策建议要做到可落地、可操作。</w:t>
      </w:r>
    </w:p>
    <w:p w14:paraId="06224A31">
      <w:pPr>
        <w:pStyle w:val="3"/>
        <w:numPr>
          <w:ilvl w:val="0"/>
          <w:numId w:val="0"/>
        </w:numPr>
        <w:spacing w:line="240" w:lineRule="auto"/>
        <w:ind w:firstLine="640" w:firstLineChars="200"/>
        <w:jc w:val="both"/>
        <w:rPr>
          <w:rFonts w:ascii="Times New Roman" w:hAnsi="Times New Roman" w:eastAsia="黑体" w:cs="黑体"/>
        </w:rPr>
      </w:pPr>
      <w:r>
        <w:rPr>
          <w:rFonts w:ascii="Times New Roman" w:hAnsi="Times New Roman" w:eastAsia="黑体" w:cs="黑体"/>
        </w:rPr>
        <w:t>四、参赛对象</w:t>
      </w:r>
    </w:p>
    <w:p w14:paraId="576D150E">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11BB0FA">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4CC17C66">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毕业设计和课程设计（论文）、学年论文和学位论文、国际竞赛中获奖的作品、获国家级奖励成果（含本竞赛主办单位参与举办的其他全国性竞赛的获奖作品）等均不在申报范围之列。</w:t>
      </w:r>
    </w:p>
    <w:p w14:paraId="04D53D99">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每件作品仅可由1个学院推报，学院在推报前要对参赛团队成员及作品进行相关资格审查。</w:t>
      </w:r>
    </w:p>
    <w:p w14:paraId="3676143B">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每个学院选送参加专项赛的作品数量不设限制，同一作品不得同时参加第二十四届“创新杯”大学生课外学术科技作品竞赛和第二十四届“创新杯”大学生创业计划竞赛。已参加第十九届“挑战杯”全国大学生课外学术科技作品竞赛2024年度“揭榜挂帅”专项赛的作品可以继续参加第二十四届“创新杯”揭榜挂帅专项赛。</w:t>
      </w:r>
    </w:p>
    <w:p w14:paraId="5B091A15">
      <w:pPr>
        <w:pStyle w:val="3"/>
        <w:numPr>
          <w:ilvl w:val="0"/>
          <w:numId w:val="0"/>
        </w:numPr>
        <w:spacing w:line="240" w:lineRule="auto"/>
        <w:ind w:firstLine="640" w:firstLineChars="200"/>
        <w:jc w:val="both"/>
        <w:rPr>
          <w:rFonts w:ascii="Times New Roman" w:hAnsi="Times New Roman" w:eastAsia="黑体" w:cs="黑体"/>
        </w:rPr>
      </w:pPr>
      <w:r>
        <w:rPr>
          <w:rFonts w:hint="eastAsia" w:ascii="Times New Roman" w:hAnsi="Times New Roman" w:eastAsia="黑体" w:cs="黑体"/>
        </w:rPr>
        <w:t>五、</w:t>
      </w:r>
      <w:r>
        <w:rPr>
          <w:rFonts w:ascii="Times New Roman" w:hAnsi="Times New Roman" w:eastAsia="黑体" w:cs="黑体"/>
        </w:rPr>
        <w:t>答题要求</w:t>
      </w:r>
    </w:p>
    <w:p w14:paraId="4FEFEEB7">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根据选题情况作品主要涵盖以下要求：</w:t>
      </w:r>
    </w:p>
    <w:p w14:paraId="33EBBA30">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1. 围绕“青年参与乡村全面振兴的路径探索和实践研究”主题，提交 1 份字数不少于10000字的研究报告（结项报告）；</w:t>
      </w:r>
    </w:p>
    <w:p w14:paraId="4C7A94D1">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2. 上述报告的查重报告1份（重复率不超过20%）、隐去单位和团队成员基本信息的研究报告（结项报告）1份；</w:t>
      </w:r>
    </w:p>
    <w:p w14:paraId="2AA52933">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3. 提交与主题有关的其他理论成果，包括但不限于学术论 文（报刊）、领导批示、调研报告等（如有可提交）；</w:t>
      </w:r>
    </w:p>
    <w:p w14:paraId="24F3CC8C">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4. 提交调研过程中形成的调研心得、手记、访谈资料、问卷数据等（如有可提交）。</w:t>
      </w:r>
    </w:p>
    <w:p w14:paraId="2C1480A3">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参赛者必须保证作品的原创性，且未公开发表。应杜绝一切抄袭或剽窃他人成果的作品参赛，参赛者应严格遵守国家有关知识产权保护的规定，不得侵犯任何第三方的知识产权或其他权利。如引发知识产权纠纷，责任由参赛者自负。发榜单位将对作品进行随机抽查，如发现学术不端行为，则取消比赛资格，并报送组委会，通报参赛学校。纪律监督将贯穿比赛全过程。</w:t>
      </w:r>
    </w:p>
    <w:p w14:paraId="607A7812">
      <w:pPr>
        <w:pStyle w:val="3"/>
        <w:numPr>
          <w:ilvl w:val="0"/>
          <w:numId w:val="0"/>
        </w:numPr>
        <w:spacing w:line="240" w:lineRule="auto"/>
        <w:ind w:firstLine="640" w:firstLineChars="200"/>
        <w:jc w:val="both"/>
        <w:rPr>
          <w:rFonts w:ascii="Times New Roman" w:hAnsi="Times New Roman" w:eastAsia="黑体" w:cs="黑体"/>
        </w:rPr>
      </w:pPr>
      <w:r>
        <w:rPr>
          <w:rFonts w:hint="eastAsia" w:ascii="Times New Roman" w:hAnsi="Times New Roman" w:eastAsia="黑体" w:cs="黑体"/>
        </w:rPr>
        <w:t>六、作品评选参考标准</w:t>
      </w:r>
    </w:p>
    <w:p w14:paraId="252AD1D5">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作品评选将从作品完整性、理论性、规范性、创新性、可行性五个维度对参赛作品进行综合评价，每个维度 20 分，共计 100分。具体标准如下：</w:t>
      </w:r>
    </w:p>
    <w:p w14:paraId="6CAA5E77">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1. 作品完整性重点考察参赛报告的选题是否正确、基本结构是否完备、体例是否符合、设计是否合理、论证是否清晰等；</w:t>
      </w:r>
    </w:p>
    <w:p w14:paraId="2CCD86B0">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2. 理论性重点考察作品是否具有一定的理论深度、基本观点的学术机理与逻辑关系阐释是否清晰明确等；</w:t>
      </w:r>
    </w:p>
    <w:p w14:paraId="22EB4AB5">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3. 规范性重点考察作品资料和数据是否准确，研究范式、研究思路等是否科学、是否符合基本学术规范等；</w:t>
      </w:r>
    </w:p>
    <w:p w14:paraId="647A21C7">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4. 创新性重点考察参赛作品在学术及应用层面是否具有创新价值，是否对现有实践做法予以创新突破等；</w:t>
      </w:r>
    </w:p>
    <w:p w14:paraId="740A057A">
      <w:pPr>
        <w:spacing w:line="560" w:lineRule="exact"/>
        <w:ind w:right="-59" w:rightChars="-28" w:firstLine="640" w:firstLineChars="200"/>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hint="eastAsia" w:ascii="Times New Roman" w:hAnsi="Times New Roman" w:eastAsia="仿宋_GB2312" w:cs="仿宋_GB2312"/>
          <w:color w:val="000000" w:themeColor="text1"/>
          <w:kern w:val="0"/>
          <w:sz w:val="32"/>
          <w:szCs w:val="32"/>
          <w14:textFill>
            <w14:solidFill>
              <w14:schemeClr w14:val="tx1"/>
            </w14:solidFill>
          </w14:textFill>
          <w14:ligatures w14:val="none"/>
        </w:rPr>
        <w:t>5. 可行性重点关注参赛作品提出的政策建议是否符合实际，提出的观点能否有效解决当前青年工作的实际问题，并真正做到可复制、可推广。</w:t>
      </w:r>
    </w:p>
    <w:p w14:paraId="6E0B9FF5">
      <w:pPr>
        <w:pStyle w:val="3"/>
        <w:numPr>
          <w:ilvl w:val="0"/>
          <w:numId w:val="0"/>
        </w:numPr>
        <w:spacing w:line="240" w:lineRule="auto"/>
        <w:ind w:firstLine="640" w:firstLineChars="200"/>
        <w:jc w:val="both"/>
        <w:rPr>
          <w:rFonts w:ascii="Times New Roman" w:hAnsi="Times New Roman" w:eastAsia="黑体" w:cs="黑体"/>
        </w:rPr>
      </w:pPr>
      <w:r>
        <w:rPr>
          <w:rFonts w:hint="eastAsia" w:ascii="Times New Roman" w:hAnsi="Times New Roman" w:eastAsia="黑体" w:cs="黑体"/>
        </w:rPr>
        <w:t>七、作品提交及评审安排</w:t>
      </w:r>
    </w:p>
    <w:p w14:paraId="25828C9B">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各学院于2024年10月前进行作品申报及其作者的资格及形式审查，并组成本学院评审委员会</w:t>
      </w:r>
      <w:r>
        <w:rPr>
          <w:rFonts w:hint="eastAsia" w:ascii="Times New Roman" w:hAnsi="Times New Roman" w:eastAsia="仿宋_GB2312" w:cs="仿宋_GB2312"/>
          <w:sz w:val="32"/>
          <w:szCs w:val="32"/>
          <w:lang w:val="en-US"/>
        </w:rPr>
        <w:t>。</w:t>
      </w:r>
    </w:p>
    <w:p w14:paraId="1C58DC25">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各学院评审委员会于2024年1</w:t>
      </w:r>
      <w:r>
        <w:rPr>
          <w:rFonts w:hint="eastAsia" w:ascii="Times New Roman" w:hAnsi="Times New Roman" w:eastAsia="仿宋_GB2312" w:cs="仿宋_GB2312"/>
          <w:sz w:val="32"/>
          <w:szCs w:val="32"/>
          <w:lang w:val="en-US"/>
        </w:rPr>
        <w:t>0</w:t>
      </w:r>
      <w:r>
        <w:rPr>
          <w:rFonts w:ascii="Times New Roman" w:hAnsi="Times New Roman" w:eastAsia="仿宋_GB2312" w:cs="仿宋_GB2312"/>
          <w:sz w:val="32"/>
          <w:szCs w:val="32"/>
          <w:lang w:val="en-US"/>
        </w:rPr>
        <w:t>月底前完成对本学院申报作品的院级选拔赛，择优挑选作品，于2024年1</w:t>
      </w:r>
      <w:r>
        <w:rPr>
          <w:rFonts w:hint="eastAsia" w:ascii="Times New Roman" w:hAnsi="Times New Roman" w:eastAsia="仿宋_GB2312" w:cs="仿宋_GB2312"/>
          <w:sz w:val="32"/>
          <w:szCs w:val="32"/>
          <w:lang w:val="en-US"/>
        </w:rPr>
        <w:t>1</w:t>
      </w:r>
      <w:r>
        <w:rPr>
          <w:rFonts w:ascii="Times New Roman" w:hAnsi="Times New Roman" w:eastAsia="仿宋_GB2312" w:cs="仿宋_GB2312"/>
          <w:sz w:val="32"/>
          <w:szCs w:val="32"/>
          <w:lang w:val="en-US"/>
        </w:rPr>
        <w:t>月</w:t>
      </w:r>
      <w:r>
        <w:rPr>
          <w:rFonts w:hint="eastAsia" w:ascii="Times New Roman" w:hAnsi="Times New Roman" w:eastAsia="仿宋_GB2312" w:cs="仿宋_GB2312"/>
          <w:sz w:val="32"/>
          <w:szCs w:val="32"/>
          <w:lang w:val="en-US"/>
        </w:rPr>
        <w:t>8日前</w:t>
      </w:r>
      <w:r>
        <w:rPr>
          <w:rFonts w:ascii="Times New Roman" w:hAnsi="Times New Roman" w:eastAsia="仿宋_GB2312" w:cs="仿宋_GB2312"/>
          <w:sz w:val="32"/>
          <w:szCs w:val="32"/>
          <w:lang w:val="en-US"/>
        </w:rPr>
        <w:t>，向校组委会办公室（办公地点设在南湖校区立德楼团委403室）交送书面的作品申报书（附件</w:t>
      </w:r>
      <w:r>
        <w:rPr>
          <w:rFonts w:hint="eastAsia" w:ascii="Times New Roman" w:hAnsi="Times New Roman" w:eastAsia="仿宋_GB2312" w:cs="仿宋_GB2312"/>
          <w:sz w:val="32"/>
          <w:szCs w:val="32"/>
          <w:lang w:val="en-US" w:eastAsia="zh-CN"/>
        </w:rPr>
        <w:t>11</w:t>
      </w:r>
      <w:r>
        <w:rPr>
          <w:rFonts w:ascii="Times New Roman" w:hAnsi="Times New Roman" w:eastAsia="仿宋_GB2312" w:cs="仿宋_GB2312"/>
          <w:sz w:val="32"/>
          <w:szCs w:val="32"/>
          <w:lang w:val="en-US"/>
        </w:rPr>
        <w:t>）及作品汇总登记表（附件1</w:t>
      </w:r>
      <w:r>
        <w:rPr>
          <w:rFonts w:hint="eastAsia" w:ascii="Times New Roman" w:hAnsi="Times New Roman" w:eastAsia="仿宋_GB2312" w:cs="仿宋_GB2312"/>
          <w:sz w:val="32"/>
          <w:szCs w:val="32"/>
          <w:lang w:val="en-US" w:eastAsia="zh-CN"/>
        </w:rPr>
        <w:t>2</w:t>
      </w:r>
      <w:r>
        <w:rPr>
          <w:rFonts w:ascii="Times New Roman" w:hAnsi="Times New Roman" w:eastAsia="仿宋_GB2312" w:cs="仿宋_GB2312"/>
          <w:sz w:val="32"/>
          <w:szCs w:val="32"/>
          <w:lang w:val="en-US"/>
        </w:rPr>
        <w:t>），电子版发送至校科协邮箱</w:t>
      </w:r>
      <w:r>
        <w:rPr>
          <w:rFonts w:ascii="Times New Roman" w:hAnsi="Times New Roman" w:eastAsia="仿宋_GB2312"/>
        </w:rPr>
        <w:fldChar w:fldCharType="begin"/>
      </w:r>
      <w:r>
        <w:rPr>
          <w:rFonts w:ascii="Times New Roman" w:hAnsi="Times New Roman" w:eastAsia="仿宋_GB2312"/>
        </w:rPr>
        <w:instrText xml:space="preserve"> HYPERLINK "mailto:wutxskx@163.com。" </w:instrText>
      </w:r>
      <w:r>
        <w:rPr>
          <w:rFonts w:ascii="Times New Roman" w:hAnsi="Times New Roman" w:eastAsia="仿宋_GB2312"/>
        </w:rPr>
        <w:fldChar w:fldCharType="separate"/>
      </w:r>
      <w:r>
        <w:rPr>
          <w:rStyle w:val="10"/>
          <w:rFonts w:ascii="Times New Roman" w:hAnsi="Times New Roman" w:eastAsia="仿宋_GB2312" w:cs="仿宋_GB2312"/>
          <w:sz w:val="32"/>
          <w:szCs w:val="32"/>
          <w:lang w:val="en-US"/>
        </w:rPr>
        <w:t>wutxskx@163.com。</w:t>
      </w:r>
      <w:r>
        <w:rPr>
          <w:rStyle w:val="10"/>
          <w:rFonts w:ascii="Times New Roman" w:hAnsi="Times New Roman" w:eastAsia="仿宋_GB2312" w:cs="仿宋_GB2312"/>
          <w:sz w:val="32"/>
          <w:szCs w:val="32"/>
          <w:lang w:val="en-US"/>
        </w:rPr>
        <w:fldChar w:fldCharType="end"/>
      </w:r>
    </w:p>
    <w:p w14:paraId="2B7AF8A7">
      <w:pPr>
        <w:spacing w:line="560" w:lineRule="exact"/>
        <w:ind w:firstLine="640" w:firstLineChars="200"/>
        <w:jc w:val="both"/>
        <w:rPr>
          <w:rFonts w:ascii="Times New Roman" w:hAnsi="Times New Roman" w:eastAsia="仿宋_GB2312" w:cs="仿宋_GB2312"/>
          <w:color w:val="000000" w:themeColor="text1"/>
          <w:kern w:val="0"/>
          <w:sz w:val="32"/>
          <w:szCs w:val="32"/>
          <w14:textFill>
            <w14:solidFill>
              <w14:schemeClr w14:val="tx1"/>
            </w14:solidFill>
          </w14:textFill>
          <w14:ligatures w14:val="none"/>
        </w:rPr>
      </w:pPr>
      <w:r>
        <w:rPr>
          <w:rFonts w:ascii="Times New Roman" w:hAnsi="Times New Roman" w:eastAsia="仿宋_GB2312" w:cs="仿宋_GB2312"/>
          <w:sz w:val="32"/>
          <w:szCs w:val="32"/>
          <w:lang w:val="en-US"/>
        </w:rPr>
        <w:t>2024年11月</w:t>
      </w:r>
      <w:r>
        <w:rPr>
          <w:rFonts w:hint="eastAsia" w:ascii="Times New Roman" w:hAnsi="Times New Roman" w:eastAsia="仿宋_GB2312" w:cs="仿宋_GB2312"/>
          <w:sz w:val="32"/>
          <w:szCs w:val="32"/>
          <w:lang w:val="en-US"/>
        </w:rPr>
        <w:t>中旬</w:t>
      </w:r>
      <w:r>
        <w:rPr>
          <w:rFonts w:ascii="Times New Roman" w:hAnsi="Times New Roman" w:eastAsia="仿宋_GB2312" w:cs="仿宋_GB2312"/>
          <w:sz w:val="32"/>
          <w:szCs w:val="32"/>
          <w:lang w:val="en-US"/>
        </w:rPr>
        <w:t>至2024年12月</w:t>
      </w:r>
      <w:r>
        <w:rPr>
          <w:rFonts w:hint="eastAsia" w:ascii="Times New Roman" w:hAnsi="Times New Roman" w:eastAsia="仿宋_GB2312" w:cs="仿宋_GB2312"/>
          <w:sz w:val="32"/>
          <w:szCs w:val="32"/>
          <w:lang w:val="en-US"/>
        </w:rPr>
        <w:t>中旬，校评审委员会对作品进行书面评审</w:t>
      </w:r>
      <w:r>
        <w:rPr>
          <w:rFonts w:ascii="Times New Roman" w:hAnsi="Times New Roman" w:eastAsia="仿宋_GB2312" w:cs="仿宋_GB2312"/>
          <w:sz w:val="32"/>
          <w:szCs w:val="32"/>
          <w:lang w:val="en-US"/>
        </w:rPr>
        <w:t>、对入围终审决</w:t>
      </w:r>
      <w:bookmarkStart w:id="0" w:name="_GoBack"/>
      <w:bookmarkEnd w:id="0"/>
      <w:r>
        <w:rPr>
          <w:rFonts w:ascii="Times New Roman" w:hAnsi="Times New Roman" w:eastAsia="仿宋_GB2312" w:cs="仿宋_GB2312"/>
          <w:sz w:val="32"/>
          <w:szCs w:val="32"/>
          <w:lang w:val="en-US"/>
        </w:rPr>
        <w:t>赛项目进行公开答辩</w:t>
      </w:r>
      <w:r>
        <w:rPr>
          <w:rFonts w:hint="eastAsia" w:ascii="Times New Roman" w:hAnsi="Times New Roman" w:eastAsia="仿宋_GB2312" w:cs="仿宋_GB2312"/>
          <w:sz w:val="32"/>
          <w:szCs w:val="32"/>
          <w:lang w:val="en-US"/>
        </w:rPr>
        <w:t>。</w:t>
      </w:r>
    </w:p>
    <w:sectPr>
      <w:footerReference r:id="rId3" w:type="default"/>
      <w:pgSz w:w="11906" w:h="16838"/>
      <w:pgMar w:top="1985" w:right="1588" w:bottom="1985" w:left="1588" w:header="851" w:footer="992" w:gutter="0"/>
      <w:cols w:space="720" w:num="1"/>
      <w:docGrid w:type="lines" w:linePitch="313" w:charSpace="5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0000000000000000000"/>
    <w:charset w:val="86"/>
    <w:family w:val="script"/>
    <w:pitch w:val="default"/>
    <w:sig w:usb0="00000000" w:usb1="00000000" w:usb2="00082016" w:usb3="00000000" w:csb0="00040001"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86"/>
    <w:family w:val="script"/>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9185612"/>
    </w:sdtPr>
    <w:sdtContent>
      <w:p w14:paraId="57E524E2">
        <w:pPr>
          <w:pStyle w:val="5"/>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29D7CFAE">
    <w:pPr>
      <w:pStyle w:val="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2CD3"/>
    <w:multiLevelType w:val="singleLevel"/>
    <w:tmpl w:val="EF1D2CD3"/>
    <w:lvl w:ilvl="0" w:tentative="0">
      <w:start w:val="1"/>
      <w:numFmt w:val="chineseCounting"/>
      <w:pStyle w:val="3"/>
      <w:suff w:val="nothing"/>
      <w:lvlText w:val="%1、"/>
      <w:lvlJc w:val="left"/>
      <w:pPr>
        <w:ind w:left="1849" w:firstLine="420"/>
      </w:pPr>
      <w:rPr>
        <w:rFonts w:hint="eastAsia"/>
      </w:rPr>
    </w:lvl>
  </w:abstractNum>
  <w:abstractNum w:abstractNumId="1">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213"/>
  <w:drawingGridVerticalSpacing w:val="31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E55E84"/>
    <w:rsid w:val="00004517"/>
    <w:rsid w:val="000049EA"/>
    <w:rsid w:val="0000558A"/>
    <w:rsid w:val="000739A2"/>
    <w:rsid w:val="000D4F5D"/>
    <w:rsid w:val="00103CB4"/>
    <w:rsid w:val="00113E77"/>
    <w:rsid w:val="00145653"/>
    <w:rsid w:val="001A5F04"/>
    <w:rsid w:val="001C7DF4"/>
    <w:rsid w:val="00210DDD"/>
    <w:rsid w:val="002157A2"/>
    <w:rsid w:val="00222D2B"/>
    <w:rsid w:val="00240B02"/>
    <w:rsid w:val="0028059F"/>
    <w:rsid w:val="00332194"/>
    <w:rsid w:val="00336E4E"/>
    <w:rsid w:val="00365C1C"/>
    <w:rsid w:val="00382D78"/>
    <w:rsid w:val="003B6306"/>
    <w:rsid w:val="0040074B"/>
    <w:rsid w:val="00417B56"/>
    <w:rsid w:val="004450BA"/>
    <w:rsid w:val="005114C6"/>
    <w:rsid w:val="0055428A"/>
    <w:rsid w:val="00572179"/>
    <w:rsid w:val="00577FAE"/>
    <w:rsid w:val="00590977"/>
    <w:rsid w:val="005A14C7"/>
    <w:rsid w:val="005B7D81"/>
    <w:rsid w:val="005C7961"/>
    <w:rsid w:val="0065780E"/>
    <w:rsid w:val="00663DA8"/>
    <w:rsid w:val="006A32D9"/>
    <w:rsid w:val="006B3F6C"/>
    <w:rsid w:val="006C29FD"/>
    <w:rsid w:val="0071077C"/>
    <w:rsid w:val="007169E8"/>
    <w:rsid w:val="007E310B"/>
    <w:rsid w:val="008231F5"/>
    <w:rsid w:val="008A5726"/>
    <w:rsid w:val="008B4363"/>
    <w:rsid w:val="0091119F"/>
    <w:rsid w:val="00932663"/>
    <w:rsid w:val="009420F3"/>
    <w:rsid w:val="009A27F1"/>
    <w:rsid w:val="009A6840"/>
    <w:rsid w:val="009B4F4C"/>
    <w:rsid w:val="009F374C"/>
    <w:rsid w:val="009F7616"/>
    <w:rsid w:val="00A30AF5"/>
    <w:rsid w:val="00A40108"/>
    <w:rsid w:val="00A42A40"/>
    <w:rsid w:val="00A97579"/>
    <w:rsid w:val="00AA0D76"/>
    <w:rsid w:val="00AB1CE7"/>
    <w:rsid w:val="00AC2603"/>
    <w:rsid w:val="00AC5A22"/>
    <w:rsid w:val="00AE0FEE"/>
    <w:rsid w:val="00B0684D"/>
    <w:rsid w:val="00B9217B"/>
    <w:rsid w:val="00BA1332"/>
    <w:rsid w:val="00BD4E10"/>
    <w:rsid w:val="00BF1F72"/>
    <w:rsid w:val="00C31AA1"/>
    <w:rsid w:val="00C4375A"/>
    <w:rsid w:val="00C75C57"/>
    <w:rsid w:val="00D2171F"/>
    <w:rsid w:val="00D923E5"/>
    <w:rsid w:val="00D97150"/>
    <w:rsid w:val="00DE34CA"/>
    <w:rsid w:val="00E03BEB"/>
    <w:rsid w:val="00E22386"/>
    <w:rsid w:val="00E379BA"/>
    <w:rsid w:val="00E55E84"/>
    <w:rsid w:val="00EA6661"/>
    <w:rsid w:val="00ED3672"/>
    <w:rsid w:val="00EE4847"/>
    <w:rsid w:val="00F137C6"/>
    <w:rsid w:val="00F218C2"/>
    <w:rsid w:val="00F32DEC"/>
    <w:rsid w:val="00F54AFB"/>
    <w:rsid w:val="00F61D3F"/>
    <w:rsid w:val="00F65530"/>
    <w:rsid w:val="0C5D60B6"/>
    <w:rsid w:val="11DD55A3"/>
    <w:rsid w:val="1A385A6D"/>
    <w:rsid w:val="1FC5305C"/>
    <w:rsid w:val="24BD373E"/>
    <w:rsid w:val="2637307C"/>
    <w:rsid w:val="28CB3F50"/>
    <w:rsid w:val="2B4D3342"/>
    <w:rsid w:val="34CC52D7"/>
    <w:rsid w:val="35E46651"/>
    <w:rsid w:val="38606463"/>
    <w:rsid w:val="39C2541D"/>
    <w:rsid w:val="42373D53"/>
    <w:rsid w:val="49417BEA"/>
    <w:rsid w:val="4C96024D"/>
    <w:rsid w:val="54972DB4"/>
    <w:rsid w:val="554051FA"/>
    <w:rsid w:val="5BBB1BE3"/>
    <w:rsid w:val="5BDC5C15"/>
    <w:rsid w:val="5C0A3293"/>
    <w:rsid w:val="5CFC234E"/>
    <w:rsid w:val="5FAB3BB8"/>
    <w:rsid w:val="63963979"/>
    <w:rsid w:val="6867746C"/>
    <w:rsid w:val="69782D5D"/>
    <w:rsid w:val="6CE02E9A"/>
    <w:rsid w:val="6ECC31E1"/>
    <w:rsid w:val="755912EA"/>
    <w:rsid w:val="764D240D"/>
    <w:rsid w:val="77D86C49"/>
    <w:rsid w:val="7CF10F26"/>
    <w:rsid w:val="7D111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qFormat/>
    <w:uiPriority w:val="9"/>
    <w:pPr>
      <w:spacing w:beforeAutospacing="1" w:afterAutospacing="1"/>
      <w:outlineLvl w:val="0"/>
    </w:pPr>
    <w:rPr>
      <w:rFonts w:hint="eastAsia" w:ascii="宋体" w:hAnsi="宋体" w:eastAsia="宋体"/>
      <w:b/>
      <w:bCs/>
      <w:kern w:val="36"/>
      <w:sz w:val="48"/>
      <w:szCs w:val="48"/>
    </w:rPr>
  </w:style>
  <w:style w:type="paragraph" w:styleId="3">
    <w:name w:val="heading 2"/>
    <w:basedOn w:val="1"/>
    <w:next w:val="1"/>
    <w:link w:val="14"/>
    <w:autoRedefine/>
    <w:unhideWhenUsed/>
    <w:qFormat/>
    <w:uiPriority w:val="9"/>
    <w:pPr>
      <w:keepNext/>
      <w:keepLines/>
      <w:widowControl/>
      <w:numPr>
        <w:ilvl w:val="0"/>
        <w:numId w:val="1"/>
      </w:numPr>
      <w:spacing w:line="560" w:lineRule="exact"/>
      <w:ind w:left="0" w:firstLine="640" w:firstLineChars="200"/>
      <w:jc w:val="left"/>
      <w:outlineLvl w:val="1"/>
    </w:pPr>
    <w:rPr>
      <w:rFonts w:ascii="方正黑体_GBK" w:hAnsi="方正黑体简体" w:eastAsia="方正黑体_GBK" w:cs="Times New Roman"/>
      <w:color w:val="000000" w:themeColor="text1"/>
      <w:kern w:val="0"/>
      <w:sz w:val="32"/>
      <w14:textFill>
        <w14:solidFill>
          <w14:schemeClr w14:val="tx1"/>
        </w14:solidFill>
      </w14:textFill>
      <w14:ligatures w14:val="none"/>
    </w:rPr>
  </w:style>
  <w:style w:type="paragraph" w:styleId="4">
    <w:name w:val="heading 3"/>
    <w:basedOn w:val="1"/>
    <w:next w:val="1"/>
    <w:link w:val="15"/>
    <w:autoRedefine/>
    <w:unhideWhenUsed/>
    <w:qFormat/>
    <w:uiPriority w:val="9"/>
    <w:pPr>
      <w:keepNext/>
      <w:keepLines/>
      <w:widowControl/>
      <w:numPr>
        <w:ilvl w:val="0"/>
        <w:numId w:val="2"/>
      </w:numPr>
      <w:tabs>
        <w:tab w:val="left" w:pos="0"/>
      </w:tabs>
      <w:spacing w:line="560" w:lineRule="exact"/>
      <w:ind w:firstLine="200" w:firstLineChars="200"/>
      <w:jc w:val="center"/>
      <w:outlineLvl w:val="2"/>
    </w:pPr>
    <w:rPr>
      <w:rFonts w:ascii="方正楷体简体" w:hAnsi="方正楷体简体" w:eastAsia="方正楷体简体" w:cs="Times New Roman"/>
      <w:color w:val="000000" w:themeColor="text1"/>
      <w:kern w:val="0"/>
      <w:sz w:val="32"/>
      <w:szCs w:val="32"/>
      <w14:textFill>
        <w14:solidFill>
          <w14:schemeClr w14:val="tx1"/>
        </w14:solidFill>
      </w14:textFill>
      <w14:ligatures w14:val="none"/>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tabs>
        <w:tab w:val="center" w:pos="4153"/>
        <w:tab w:val="right" w:pos="8306"/>
      </w:tabs>
      <w:snapToGrid w:val="0"/>
      <w:jc w:val="center"/>
    </w:pPr>
    <w:rPr>
      <w:sz w:val="18"/>
      <w:szCs w:val="18"/>
    </w:rPr>
  </w:style>
  <w:style w:type="character" w:styleId="9">
    <w:name w:val="Strong"/>
    <w:basedOn w:val="8"/>
    <w:autoRedefine/>
    <w:qFormat/>
    <w:uiPriority w:val="22"/>
    <w:rPr>
      <w:b/>
      <w:bCs/>
    </w:rPr>
  </w:style>
  <w:style w:type="character" w:styleId="10">
    <w:name w:val="Hyperlink"/>
    <w:basedOn w:val="8"/>
    <w:autoRedefine/>
    <w:unhideWhenUsed/>
    <w:qFormat/>
    <w:uiPriority w:val="99"/>
    <w:rPr>
      <w:color w:val="0563C1" w:themeColor="hyperlink"/>
      <w:u w:val="single"/>
      <w14:textFill>
        <w14:solidFill>
          <w14:schemeClr w14:val="hlink"/>
        </w14:solidFill>
      </w14:textFill>
    </w:rPr>
  </w:style>
  <w:style w:type="character" w:customStyle="1" w:styleId="11">
    <w:name w:val="页眉 字符"/>
    <w:basedOn w:val="8"/>
    <w:link w:val="6"/>
    <w:autoRedefine/>
    <w:qFormat/>
    <w:uiPriority w:val="99"/>
    <w:rPr>
      <w:sz w:val="18"/>
      <w:szCs w:val="18"/>
    </w:rPr>
  </w:style>
  <w:style w:type="character" w:customStyle="1" w:styleId="12">
    <w:name w:val="页脚 字符"/>
    <w:basedOn w:val="8"/>
    <w:link w:val="5"/>
    <w:autoRedefine/>
    <w:qFormat/>
    <w:uiPriority w:val="99"/>
    <w:rPr>
      <w:sz w:val="18"/>
      <w:szCs w:val="18"/>
    </w:rPr>
  </w:style>
  <w:style w:type="paragraph" w:styleId="13">
    <w:name w:val="List Paragraph"/>
    <w:basedOn w:val="1"/>
    <w:autoRedefine/>
    <w:qFormat/>
    <w:uiPriority w:val="34"/>
    <w:pPr>
      <w:ind w:firstLine="420" w:firstLineChars="200"/>
    </w:pPr>
  </w:style>
  <w:style w:type="character" w:customStyle="1" w:styleId="14">
    <w:name w:val="标题 2 字符"/>
    <w:basedOn w:val="8"/>
    <w:link w:val="3"/>
    <w:autoRedefine/>
    <w:qFormat/>
    <w:uiPriority w:val="9"/>
    <w:rPr>
      <w:rFonts w:ascii="方正黑体_GBK" w:hAnsi="方正黑体简体" w:eastAsia="方正黑体_GBK" w:cs="Times New Roman"/>
      <w:color w:val="000000" w:themeColor="text1"/>
      <w:kern w:val="0"/>
      <w:sz w:val="32"/>
      <w14:textFill>
        <w14:solidFill>
          <w14:schemeClr w14:val="tx1"/>
        </w14:solidFill>
      </w14:textFill>
      <w14:ligatures w14:val="none"/>
    </w:rPr>
  </w:style>
  <w:style w:type="character" w:customStyle="1" w:styleId="15">
    <w:name w:val="标题 3 字符"/>
    <w:basedOn w:val="8"/>
    <w:link w:val="4"/>
    <w:qFormat/>
    <w:uiPriority w:val="9"/>
    <w:rPr>
      <w:rFonts w:ascii="方正楷体简体" w:hAnsi="方正楷体简体" w:eastAsia="方正楷体简体" w:cs="Times New Roman"/>
      <w:color w:val="000000" w:themeColor="text1"/>
      <w:kern w:val="0"/>
      <w:sz w:val="32"/>
      <w:szCs w:val="32"/>
      <w14:textFill>
        <w14:solidFill>
          <w14:schemeClr w14:val="tx1"/>
        </w14:solidFill>
      </w14:textFill>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2036</Words>
  <Characters>2102</Characters>
  <Lines>15</Lines>
  <Paragraphs>4</Paragraphs>
  <TotalTime>0</TotalTime>
  <ScaleCrop>false</ScaleCrop>
  <LinksUpToDate>false</LinksUpToDate>
  <CharactersWithSpaces>2117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2024-09-24T12:42:00Z</dcterms:created>
  <dc:creator>郭元凯</dc:creator>
  <cp:lastModifiedBy>金阳</cp:lastModifiedBy>
  <dcterms:modified xsi:type="dcterms:W3CDTF">2024-09-25T09:23:23Z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1C90798A048B461993C479DD1D1D6E9D_12</vt:lpwstr>
  </property>
</Properties>
</file>