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25B860">
      <w:pPr>
        <w:widowControl/>
        <w:spacing w:line="560" w:lineRule="exact"/>
        <w:rPr>
          <w:rFonts w:ascii="Times New Roman" w:hAnsi="Times New Roman" w:eastAsia="仿宋_GB2312" w:cs="仿宋_GB2312"/>
          <w:kern w:val="0"/>
          <w:sz w:val="32"/>
          <w:szCs w:val="32"/>
        </w:rPr>
      </w:pPr>
      <w:bookmarkStart w:id="0" w:name="sys0041"/>
      <w:r>
        <w:rPr>
          <w:rFonts w:ascii="Times New Roman" w:hAnsi="Times New Roman" w:eastAsia="仿宋_GB2312" w:cs="仿宋_GB2312"/>
          <w:kern w:val="0"/>
          <w:sz w:val="32"/>
          <w:szCs w:val="32"/>
        </w:rPr>
        <w:t>题目</w:t>
      </w:r>
      <w:r>
        <w:rPr>
          <w:rFonts w:hint="eastAsia" w:ascii="Times New Roman" w:hAnsi="Times New Roman" w:eastAsia="仿宋_GB2312" w:cs="仿宋_GB2312"/>
          <w:kern w:val="0"/>
          <w:sz w:val="32"/>
          <w:szCs w:val="32"/>
        </w:rPr>
        <w:t>51：</w:t>
      </w:r>
    </w:p>
    <w:p w14:paraId="11D934A8">
      <w:pPr>
        <w:pStyle w:val="2"/>
        <w:spacing w:beforeAutospacing="0" w:afterAutospacing="0"/>
        <w:jc w:val="center"/>
        <w:rPr>
          <w:rFonts w:hint="default"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方正小标宋简体" w:cs="方正小标宋简体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“面向人民健康，促进乳业高质量发展-基于乳基原料的中国特色主食化产品创制”比赛方案</w:t>
      </w:r>
      <w:bookmarkEnd w:id="0"/>
      <w:bookmarkStart w:id="1" w:name="pindex0"/>
      <w:bookmarkEnd w:id="1"/>
    </w:p>
    <w:p w14:paraId="2EA71803">
      <w:pPr>
        <w:widowControl/>
        <w:jc w:val="center"/>
        <w:rPr>
          <w:rFonts w:ascii="Times New Roman" w:hAnsi="Times New Roman" w:eastAsia="楷体_GB2312" w:cs="楷体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楷体_GB2312" w:cs="楷体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（国家乳业技术创新中心）</w:t>
      </w:r>
    </w:p>
    <w:p w14:paraId="21FE9CA2">
      <w:pPr>
        <w:pStyle w:val="3"/>
        <w:widowControl/>
        <w:spacing w:line="240" w:lineRule="auto"/>
        <w:ind w:firstLine="643" w:firstLineChars="200"/>
        <w:rPr>
          <w:rFonts w:ascii="Times New Roman" w:hAnsi="Times New Roman" w:eastAsia="黑体" w:cs="黑体"/>
          <w:color w:val="000000" w:themeColor="text1"/>
          <w14:textFill>
            <w14:solidFill>
              <w14:schemeClr w14:val="tx1"/>
            </w14:solidFill>
          </w14:textFill>
        </w:rPr>
      </w:pPr>
    </w:p>
    <w:p w14:paraId="505B17D0">
      <w:pPr>
        <w:pStyle w:val="3"/>
        <w:widowControl/>
        <w:spacing w:before="0" w:after="0" w:line="240" w:lineRule="auto"/>
        <w:ind w:firstLine="640" w:firstLineChars="200"/>
        <w:rPr>
          <w:rFonts w:ascii="Times New Roman" w:hAnsi="Times New Roman" w:eastAsia="黑体" w:cs="黑体"/>
          <w:b w:val="0"/>
          <w:bCs w:val="0"/>
          <w:color w:val="000000" w:themeColor="text1"/>
          <w:kern w:val="0"/>
          <w:szCs w:val="22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黑体" w:cs="黑体"/>
          <w:b w:val="0"/>
          <w:bCs w:val="0"/>
          <w:color w:val="000000" w:themeColor="text1"/>
          <w:kern w:val="0"/>
          <w:szCs w:val="22"/>
          <w14:textFill>
            <w14:solidFill>
              <w14:schemeClr w14:val="tx1"/>
            </w14:solidFill>
          </w14:textFill>
        </w:rPr>
        <w:t>一、</w:t>
      </w:r>
      <w:r>
        <w:rPr>
          <w:rFonts w:hint="eastAsia" w:ascii="Times New Roman" w:hAnsi="Times New Roman" w:eastAsia="黑体" w:cs="黑体"/>
          <w:b w:val="0"/>
          <w:bCs w:val="0"/>
          <w:color w:val="000000" w:themeColor="text1"/>
          <w:kern w:val="0"/>
          <w:szCs w:val="22"/>
          <w14:textFill>
            <w14:solidFill>
              <w14:schemeClr w14:val="tx1"/>
            </w14:solidFill>
          </w14:textFill>
        </w:rPr>
        <w:t>出题</w:t>
      </w:r>
      <w:r>
        <w:rPr>
          <w:rFonts w:ascii="Times New Roman" w:hAnsi="Times New Roman" w:eastAsia="黑体" w:cs="黑体"/>
          <w:b w:val="0"/>
          <w:bCs w:val="0"/>
          <w:color w:val="000000" w:themeColor="text1"/>
          <w:kern w:val="0"/>
          <w:szCs w:val="22"/>
          <w14:textFill>
            <w14:solidFill>
              <w14:schemeClr w14:val="tx1"/>
            </w14:solidFill>
          </w14:textFill>
        </w:rPr>
        <w:t>单位</w:t>
      </w:r>
    </w:p>
    <w:p w14:paraId="08630987">
      <w:pPr>
        <w:widowControl/>
        <w:spacing w:line="560" w:lineRule="exact"/>
        <w:ind w:firstLine="640" w:firstLineChars="200"/>
        <w:rPr>
          <w:rFonts w:ascii="Times New Roman" w:hAnsi="Times New Roman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仿宋_GB2312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国家乳业技术创新中心</w:t>
      </w:r>
    </w:p>
    <w:p w14:paraId="04D18ECC">
      <w:pPr>
        <w:pStyle w:val="3"/>
        <w:widowControl/>
        <w:spacing w:before="0" w:after="0" w:line="240" w:lineRule="auto"/>
        <w:ind w:firstLine="640" w:firstLineChars="200"/>
        <w:rPr>
          <w:rFonts w:ascii="Times New Roman" w:hAnsi="Times New Roman" w:eastAsia="黑体" w:cs="黑体"/>
          <w:b w:val="0"/>
          <w:bCs w:val="0"/>
          <w:color w:val="000000" w:themeColor="text1"/>
          <w:kern w:val="0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b w:val="0"/>
          <w:bCs w:val="0"/>
          <w:color w:val="000000" w:themeColor="text1"/>
          <w:kern w:val="0"/>
          <w:szCs w:val="22"/>
          <w14:textFill>
            <w14:solidFill>
              <w14:schemeClr w14:val="tx1"/>
            </w14:solidFill>
          </w14:textFill>
        </w:rPr>
        <w:t>二、题目名称</w:t>
      </w:r>
      <w:bookmarkStart w:id="2" w:name="pindex4"/>
      <w:bookmarkEnd w:id="2"/>
    </w:p>
    <w:p w14:paraId="028403C1">
      <w:pPr>
        <w:spacing w:line="56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  <w:lang w:val="en-GB"/>
        </w:rPr>
      </w:pPr>
      <w:bookmarkStart w:id="3" w:name="sys5035"/>
      <w:r>
        <w:rPr>
          <w:rFonts w:hint="eastAsia" w:ascii="Times New Roman" w:hAnsi="Times New Roman" w:eastAsia="仿宋_GB2312" w:cs="仿宋_GB2312"/>
          <w:sz w:val="32"/>
          <w:szCs w:val="32"/>
          <w:lang w:val="en-GB"/>
        </w:rPr>
        <w:t>面向人民健康，促进乳业高质量发展-基于乳基原料的中国特色主食化产品创制</w:t>
      </w:r>
      <w:bookmarkEnd w:id="3"/>
    </w:p>
    <w:p w14:paraId="2B559BF9">
      <w:pPr>
        <w:pStyle w:val="3"/>
        <w:widowControl/>
        <w:spacing w:before="0" w:after="0" w:line="240" w:lineRule="auto"/>
        <w:ind w:firstLine="640" w:firstLineChars="200"/>
        <w:rPr>
          <w:rFonts w:ascii="Times New Roman" w:hAnsi="Times New Roman" w:eastAsia="黑体" w:cs="黑体"/>
          <w:b w:val="0"/>
          <w:bCs w:val="0"/>
          <w:color w:val="000000" w:themeColor="text1"/>
          <w:kern w:val="0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b w:val="0"/>
          <w:bCs w:val="0"/>
          <w:color w:val="000000" w:themeColor="text1"/>
          <w:kern w:val="0"/>
          <w:szCs w:val="22"/>
          <w14:textFill>
            <w14:solidFill>
              <w14:schemeClr w14:val="tx1"/>
            </w14:solidFill>
          </w14:textFill>
        </w:rPr>
        <w:t>三、题目介绍</w:t>
      </w:r>
      <w:bookmarkStart w:id="4" w:name="pindex6"/>
      <w:bookmarkEnd w:id="4"/>
    </w:p>
    <w:p w14:paraId="2C18B71A">
      <w:pPr>
        <w:spacing w:line="56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  <w:lang w:val="en-GB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GB"/>
        </w:rPr>
        <w:t>随着社会的发展和人民生活水平的提高，乳及乳制品以其方便、营养、新鲜等诸多优点被广大消费者认可，也是健康中国的重要基础。我国乳制品市场蓬勃发展，2020年我国乳制品销售规模达到了6385亿元。同时，我国乳业的发展也存在着以液奶为主的形式单一、乳品摄入量仍不能满足营养指南要求等问题，需要以科技创新来开拓新的乳制品应用领域。</w:t>
      </w:r>
    </w:p>
    <w:p w14:paraId="643AE6CA">
      <w:pPr>
        <w:spacing w:line="56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  <w:lang w:val="en-GB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GB"/>
        </w:rPr>
        <w:t>作为对比参考，在欧美发达国家，几乎半数的牛奶是以奶酪的形式被消费，而在国内，奶酪及奶酪制品与我国传统饮食习惯差异较大，在短期内很难成长为中国人日常消费乳制品的主流形式。同时，我国居民饮食习惯以米、面等传统主食为主，其中高质量蛋白质及钙、维生素等含量较低，导致我国人群整体营养摄入不足。如将乳融入到日常膳食中，加工成富含乳蛋白的米、面等，不仅能促进乳制品产业快速高质量发展，支持奶农的共同富裕，更能提升人民健康水平，促进青少年健康成长、防止中老年慢性病的发生，助力解决国家的粮食安全问题。</w:t>
      </w:r>
    </w:p>
    <w:p w14:paraId="725C8E73">
      <w:pPr>
        <w:spacing w:line="56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  <w:lang w:val="en-GB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GB"/>
        </w:rPr>
        <w:t>1.以“乳品主食化”为主题，开发适合我国饮食习惯的含乳主食。</w:t>
      </w:r>
      <w:bookmarkStart w:id="5" w:name="pindex9"/>
      <w:bookmarkEnd w:id="5"/>
    </w:p>
    <w:p w14:paraId="3915BE1C">
      <w:pPr>
        <w:spacing w:line="56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  <w:lang w:val="en-GB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GB"/>
        </w:rPr>
        <w:t>2.解决乳品主食化开发过程中的技术难题，如蛋白及淀粉重组结构优化、产品食用口味口感、蒸煮性能优化等。</w:t>
      </w:r>
      <w:bookmarkStart w:id="6" w:name="pindex10"/>
      <w:bookmarkEnd w:id="6"/>
    </w:p>
    <w:p w14:paraId="19147DEC">
      <w:pPr>
        <w:spacing w:line="56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  <w:lang w:val="en-GB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GB"/>
        </w:rPr>
        <w:t>3.研究含乳的主食对于改善膳食结构，促进人体健康的作用。</w:t>
      </w:r>
      <w:bookmarkStart w:id="7" w:name="pindex11"/>
      <w:bookmarkEnd w:id="7"/>
    </w:p>
    <w:p w14:paraId="1B546FE9">
      <w:pPr>
        <w:spacing w:line="56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  <w:lang w:val="en-GB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GB"/>
        </w:rPr>
        <w:t>4.围绕乳品主食化，优化我国乳品深加工产业体系，构建基于乳品主食化的乳脂肪、乳蛋白、乳糖等乳成分的综合利用产业模式。</w:t>
      </w:r>
      <w:bookmarkStart w:id="8" w:name="pindex12"/>
      <w:bookmarkEnd w:id="8"/>
    </w:p>
    <w:p w14:paraId="507EFC04">
      <w:pPr>
        <w:spacing w:line="56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  <w:lang w:val="en-GB"/>
        </w:rPr>
      </w:pPr>
      <w:r>
        <w:rPr>
          <w:rFonts w:hint="eastAsia" w:ascii="Times New Roman" w:hAnsi="Times New Roman" w:eastAsia="仿宋_GB2312" w:cs="仿宋_GB2312"/>
          <w:sz w:val="32"/>
          <w:szCs w:val="32"/>
          <w:lang w:val="en-GB"/>
        </w:rPr>
        <w:t>参赛队伍可在上述对“乳品主食化”起到关键作用的措施和技术手段中，选择1个方向或者多个方向组合，开展方案设计。</w:t>
      </w:r>
    </w:p>
    <w:p w14:paraId="2048856A">
      <w:pPr>
        <w:pStyle w:val="3"/>
        <w:widowControl/>
        <w:spacing w:before="0" w:after="0" w:line="240" w:lineRule="auto"/>
        <w:ind w:firstLine="640" w:firstLineChars="200"/>
        <w:rPr>
          <w:rFonts w:ascii="Times New Roman" w:hAnsi="Times New Roman" w:eastAsia="黑体" w:cs="黑体"/>
          <w:b w:val="0"/>
          <w:bCs w:val="0"/>
          <w:color w:val="000000" w:themeColor="text1"/>
          <w:kern w:val="0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b w:val="0"/>
          <w:bCs w:val="0"/>
          <w:color w:val="000000" w:themeColor="text1"/>
          <w:kern w:val="0"/>
          <w:szCs w:val="22"/>
          <w14:textFill>
            <w14:solidFill>
              <w14:schemeClr w14:val="tx1"/>
            </w14:solidFill>
          </w14:textFill>
        </w:rPr>
        <w:t>四、</w:t>
      </w:r>
      <w:bookmarkStart w:id="9" w:name="pindex14"/>
      <w:bookmarkEnd w:id="9"/>
      <w:r>
        <w:rPr>
          <w:rFonts w:hint="eastAsia" w:ascii="Times New Roman" w:hAnsi="Times New Roman" w:eastAsia="黑体" w:cs="黑体"/>
          <w:b w:val="0"/>
          <w:bCs w:val="0"/>
          <w:color w:val="000000" w:themeColor="text1"/>
          <w:kern w:val="0"/>
          <w:szCs w:val="22"/>
          <w14:textFill>
            <w14:solidFill>
              <w14:schemeClr w14:val="tx1"/>
            </w14:solidFill>
          </w14:textFill>
        </w:rPr>
        <w:t>参赛对象</w:t>
      </w:r>
      <w:bookmarkStart w:id="10" w:name="pindex15"/>
      <w:bookmarkEnd w:id="10"/>
    </w:p>
    <w:p w14:paraId="03B4313B">
      <w:pPr>
        <w:widowControl/>
        <w:spacing w:line="56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2024年6月1日以前正式注册的全日制非成人教育的在校本科生、硕士研究生（不含在职研究生）均可申报作品参赛，以个人或团队形式参赛均可，每个团队不超过10人（含作品申报者），每件作品可由不超过3名教师指导完成。可以跨专业、跨学院组队，所属单位以学生负责人所在院系认定。</w:t>
      </w:r>
    </w:p>
    <w:p w14:paraId="1C7DF290">
      <w:pPr>
        <w:widowControl/>
        <w:spacing w:line="56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本校硕博连读生（直博生）若在2024年6月1日以前未通过博士资格考试的，可以按研究生学历申报作品。没有实行资格考试制度的学校，前两年可以按硕士学历申报作品。本硕博连读生，按照四年、两年分别对应本、硕申报，后续则不可申报。</w:t>
      </w:r>
    </w:p>
    <w:p w14:paraId="1BF11165">
      <w:pPr>
        <w:widowControl/>
        <w:spacing w:line="56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毕业设计和课程设计（论文）、学年论文和学位论文、国际竞赛中获奖的作品、获国家级奖励成果（含本竞赛主办单位参与举办的其他全国性竞赛的获奖作品）等均不在申报范围之列。</w:t>
      </w:r>
    </w:p>
    <w:p w14:paraId="00176173">
      <w:pPr>
        <w:widowControl/>
        <w:spacing w:line="56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每件作品仅可由1个学院推报，学院在推报前要对参赛团队成员及作品进行相关资格审查。</w:t>
      </w:r>
    </w:p>
    <w:p w14:paraId="0C4A197C">
      <w:pPr>
        <w:widowControl/>
        <w:spacing w:line="56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每个学院选送参加专项赛的作品数量不设限制，同一作品不得同时参加第二十四届“创新杯”大学生课外学术科技作品竞赛和第二十四届“创新杯”</w:t>
      </w:r>
      <w:r>
        <w:rPr>
          <w:rFonts w:ascii="Times New Roman" w:hAnsi="Times New Roman" w:eastAsia="仿宋_GB2312"/>
          <w:color w:val="333333"/>
          <w:kern w:val="0"/>
          <w:sz w:val="32"/>
          <w:szCs w:val="28"/>
          <w:shd w:val="clear" w:color="auto" w:fill="FFFFFF"/>
          <w:lang w:bidi="ar"/>
        </w:rPr>
        <w:t>大学生创业计划竞赛</w:t>
      </w:r>
      <w:r>
        <w:rPr>
          <w:rFonts w:hint="eastAsia" w:ascii="Times New Roman" w:hAnsi="Times New Roman" w:eastAsia="仿宋_GB2312" w:cs="仿宋_GB2312"/>
          <w:sz w:val="32"/>
          <w:szCs w:val="32"/>
        </w:rPr>
        <w:t>。已参加第十九届“挑战杯”全国大学生课外学术科技作品竞赛2024年度“揭榜挂帅”专项赛的作品可以继续参加第二十四届“创新杯”揭榜挂帅专项赛。</w:t>
      </w:r>
    </w:p>
    <w:p w14:paraId="77632412">
      <w:pPr>
        <w:pStyle w:val="3"/>
        <w:widowControl/>
        <w:spacing w:before="0" w:after="0" w:line="240" w:lineRule="auto"/>
        <w:ind w:firstLine="640" w:firstLineChars="200"/>
        <w:rPr>
          <w:rFonts w:ascii="Times New Roman" w:hAnsi="Times New Roman" w:eastAsia="黑体" w:cs="黑体"/>
          <w:b w:val="0"/>
          <w:bCs w:val="0"/>
          <w:color w:val="000000" w:themeColor="text1"/>
          <w:kern w:val="0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b w:val="0"/>
          <w:bCs w:val="0"/>
          <w:color w:val="000000" w:themeColor="text1"/>
          <w:kern w:val="0"/>
          <w:szCs w:val="22"/>
          <w14:textFill>
            <w14:solidFill>
              <w14:schemeClr w14:val="tx1"/>
            </w14:solidFill>
          </w14:textFill>
        </w:rPr>
        <w:t>五、答题要求</w:t>
      </w:r>
      <w:bookmarkStart w:id="11" w:name="pindex21"/>
      <w:bookmarkEnd w:id="11"/>
    </w:p>
    <w:p w14:paraId="4F53E4AB">
      <w:pPr>
        <w:spacing w:line="56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1.形成</w:t>
      </w:r>
      <w:r>
        <w:rPr>
          <w:rFonts w:hint="eastAsia" w:ascii="Times New Roman" w:hAnsi="Times New Roman" w:eastAsia="仿宋_GB2312" w:cs="仿宋_GB2312"/>
          <w:sz w:val="32"/>
          <w:szCs w:val="32"/>
          <w:lang w:val="en-GB"/>
        </w:rPr>
        <w:t>“</w:t>
      </w:r>
      <w:r>
        <w:rPr>
          <w:rFonts w:hint="eastAsia" w:ascii="Times New Roman" w:hAnsi="Times New Roman" w:eastAsia="仿宋_GB2312" w:cs="仿宋_GB2312"/>
          <w:sz w:val="32"/>
          <w:szCs w:val="32"/>
        </w:rPr>
        <w:t>乳品主食化</w:t>
      </w:r>
      <w:r>
        <w:rPr>
          <w:rFonts w:hint="eastAsia" w:ascii="Times New Roman" w:hAnsi="Times New Roman" w:eastAsia="仿宋_GB2312" w:cs="仿宋_GB2312"/>
          <w:sz w:val="32"/>
          <w:szCs w:val="32"/>
          <w:lang w:val="en-GB"/>
        </w:rPr>
        <w:t>”总体</w:t>
      </w:r>
      <w:r>
        <w:rPr>
          <w:rFonts w:hint="eastAsia" w:ascii="Times New Roman" w:hAnsi="Times New Roman" w:eastAsia="仿宋_GB2312" w:cs="仿宋_GB2312"/>
          <w:sz w:val="32"/>
          <w:szCs w:val="32"/>
        </w:rPr>
        <w:t>设计方案和思路；</w:t>
      </w:r>
      <w:bookmarkStart w:id="12" w:name="pindex22"/>
      <w:bookmarkEnd w:id="12"/>
    </w:p>
    <w:p w14:paraId="02F79397">
      <w:pPr>
        <w:spacing w:line="56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2.完成《乳品主食化技术研究与设计报告》word文档一份，包括项目概况、主要研究内容、核心技术路线、技术创新点、研究结果、应用前景分析等内容；</w:t>
      </w:r>
      <w:bookmarkStart w:id="13" w:name="pindex23"/>
      <w:bookmarkEnd w:id="13"/>
    </w:p>
    <w:p w14:paraId="6A610DC8">
      <w:pPr>
        <w:spacing w:line="56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3.根据大赛整体时间安排并结合科研攻关的科学规律，2024年8月5日前，各参赛团队提交作品。</w:t>
      </w:r>
      <w:bookmarkStart w:id="14" w:name="pindex24"/>
      <w:bookmarkEnd w:id="14"/>
    </w:p>
    <w:p w14:paraId="7233E99D">
      <w:pPr>
        <w:spacing w:line="56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bookmarkStart w:id="15" w:name="sys25035"/>
      <w:r>
        <w:rPr>
          <w:rFonts w:hint="eastAsia" w:ascii="Times New Roman" w:hAnsi="Times New Roman" w:eastAsia="仿宋_GB2312" w:cs="仿宋_GB2312"/>
          <w:sz w:val="32"/>
          <w:szCs w:val="32"/>
        </w:rPr>
        <w:t>4.进入终审的队伍，可以提交原型产品，具体提交方式待初审后另行通知。</w:t>
      </w:r>
      <w:bookmarkEnd w:id="15"/>
      <w:bookmarkStart w:id="16" w:name="pindex25"/>
      <w:bookmarkEnd w:id="16"/>
    </w:p>
    <w:p w14:paraId="16E5A280">
      <w:pPr>
        <w:pStyle w:val="3"/>
        <w:widowControl/>
        <w:spacing w:before="0" w:after="0" w:line="240" w:lineRule="auto"/>
        <w:ind w:firstLine="640" w:firstLineChars="200"/>
        <w:rPr>
          <w:rFonts w:ascii="Times New Roman" w:hAnsi="Times New Roman" w:eastAsia="黑体" w:cs="黑体"/>
          <w:b w:val="0"/>
          <w:bCs w:val="0"/>
          <w:color w:val="000000" w:themeColor="text1"/>
          <w:kern w:val="0"/>
          <w:szCs w:val="2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黑体"/>
          <w:b w:val="0"/>
          <w:bCs w:val="0"/>
          <w:color w:val="000000" w:themeColor="text1"/>
          <w:kern w:val="0"/>
          <w:szCs w:val="22"/>
          <w14:textFill>
            <w14:solidFill>
              <w14:schemeClr w14:val="tx1"/>
            </w14:solidFill>
          </w14:textFill>
        </w:rPr>
        <w:t>六、作品评选参考标准</w:t>
      </w:r>
      <w:bookmarkStart w:id="17" w:name="pindex26"/>
      <w:bookmarkEnd w:id="17"/>
    </w:p>
    <w:p w14:paraId="10DC4FD3">
      <w:pPr>
        <w:spacing w:line="56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1.内容必须紧密围绕本次项目的主题，结合乳制品营养特色以及传统主食加工和食用特点，实现乳与主食的有机结合。</w:t>
      </w:r>
      <w:bookmarkStart w:id="18" w:name="pindex27"/>
      <w:bookmarkEnd w:id="18"/>
    </w:p>
    <w:p w14:paraId="7856A147">
      <w:pPr>
        <w:spacing w:line="56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2.技术报告结构完整、内容</w:t>
      </w:r>
      <w:sdt>
        <w:sdtPr>
          <w:rPr>
            <w:rFonts w:ascii="Times New Roman" w:hAnsi="Times New Roman" w:eastAsia="仿宋_GB2312" w:cs="仿宋_GB2312"/>
            <w:sz w:val="32"/>
            <w:szCs w:val="32"/>
          </w:rPr>
          <w:alias w:val="易错词检查"/>
          <w:id w:val="2121250"/>
        </w:sdtPr>
        <w:sdtEndPr>
          <w:rPr>
            <w:rFonts w:ascii="Times New Roman" w:hAnsi="Times New Roman" w:eastAsia="仿宋_GB2312" w:cs="仿宋_GB2312"/>
            <w:sz w:val="32"/>
            <w:szCs w:val="32"/>
          </w:rPr>
        </w:sdtEndPr>
        <w:sdtContent>
          <w:bookmarkStart w:id="19" w:name="bkReivew2121250"/>
          <w:r>
            <w:rPr>
              <w:rFonts w:hint="eastAsia" w:ascii="Times New Roman" w:hAnsi="Times New Roman" w:eastAsia="仿宋_GB2312" w:cs="仿宋_GB2312"/>
              <w:sz w:val="32"/>
              <w:szCs w:val="32"/>
            </w:rPr>
            <w:t>翔实</w:t>
          </w:r>
          <w:bookmarkEnd w:id="19"/>
        </w:sdtContent>
      </w:sdt>
      <w:sdt>
        <w:sdtPr>
          <w:rPr>
            <w:rFonts w:ascii="Times New Roman" w:hAnsi="Times New Roman" w:eastAsia="仿宋_GB2312" w:cs="仿宋_GB2312"/>
            <w:sz w:val="32"/>
            <w:szCs w:val="32"/>
          </w:rPr>
          <w:alias w:val="易错词检查"/>
          <w:id w:val="3131002"/>
        </w:sdtPr>
        <w:sdtEndPr>
          <w:rPr>
            <w:rFonts w:ascii="Times New Roman" w:hAnsi="Times New Roman" w:eastAsia="仿宋_GB2312" w:cs="仿宋_GB2312"/>
            <w:sz w:val="32"/>
            <w:szCs w:val="32"/>
          </w:rPr>
        </w:sdtEndPr>
        <w:sdtContent>
          <w:bookmarkStart w:id="20" w:name="bkReivew3131002"/>
          <w:r>
            <w:rPr>
              <w:rFonts w:hint="eastAsia" w:ascii="Times New Roman" w:hAnsi="Times New Roman" w:eastAsia="仿宋_GB2312" w:cs="仿宋_GB2312"/>
              <w:sz w:val="32"/>
              <w:szCs w:val="32"/>
            </w:rPr>
            <w:t>，包括</w:t>
          </w:r>
          <w:bookmarkEnd w:id="20"/>
        </w:sdtContent>
      </w:sdt>
      <w:r>
        <w:rPr>
          <w:rFonts w:hint="eastAsia" w:ascii="Times New Roman" w:hAnsi="Times New Roman" w:eastAsia="仿宋_GB2312" w:cs="仿宋_GB2312"/>
          <w:sz w:val="32"/>
          <w:szCs w:val="32"/>
        </w:rPr>
        <w:t>充分的背景调研、清晰的方案设计、充分的数据/资料支撑等。</w:t>
      </w:r>
      <w:bookmarkStart w:id="21" w:name="pindex28"/>
      <w:bookmarkEnd w:id="21"/>
    </w:p>
    <w:p w14:paraId="75FEFD76">
      <w:pPr>
        <w:spacing w:line="56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3.技术成果具有创新性，需在理论上有创新，或将现有理论创造性地应用于解决问题。</w:t>
      </w:r>
      <w:bookmarkStart w:id="22" w:name="pindex29"/>
      <w:bookmarkEnd w:id="22"/>
    </w:p>
    <w:p w14:paraId="33FD3E58">
      <w:pPr>
        <w:spacing w:line="56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4.研究成果具有较强的可实施性，可以投入实践应用。</w:t>
      </w:r>
      <w:bookmarkStart w:id="23" w:name="pindex30"/>
      <w:bookmarkEnd w:id="23"/>
    </w:p>
    <w:p w14:paraId="1BE47EA4">
      <w:pPr>
        <w:spacing w:line="560" w:lineRule="exact"/>
        <w:ind w:firstLine="640" w:firstLineChars="200"/>
        <w:rPr>
          <w:rFonts w:ascii="Times New Roman" w:hAnsi="Times New Roman" w:eastAsia="仿宋_GB2312" w:cs="仿宋_GB2312"/>
          <w:sz w:val="32"/>
          <w:szCs w:val="32"/>
        </w:rPr>
      </w:pPr>
      <w:r>
        <w:rPr>
          <w:rFonts w:hint="eastAsia" w:ascii="Times New Roman" w:hAnsi="Times New Roman" w:eastAsia="仿宋_GB2312" w:cs="仿宋_GB2312"/>
          <w:sz w:val="32"/>
          <w:szCs w:val="32"/>
        </w:rPr>
        <w:t>5.研究成果有望产生较为显著的经济效益、社会效益。</w:t>
      </w:r>
      <w:bookmarkStart w:id="24" w:name="pindex31"/>
      <w:bookmarkEnd w:id="24"/>
    </w:p>
    <w:p w14:paraId="2F1E3DB6">
      <w:pPr>
        <w:pStyle w:val="3"/>
        <w:widowControl/>
        <w:spacing w:before="0" w:after="0" w:line="240" w:lineRule="auto"/>
        <w:ind w:firstLine="640" w:firstLineChars="200"/>
        <w:rPr>
          <w:rFonts w:ascii="Times New Roman" w:hAnsi="Times New Roman" w:eastAsia="黑体" w:cs="黑体"/>
          <w:b w:val="0"/>
          <w:bCs w:val="0"/>
          <w:color w:val="000000" w:themeColor="text1"/>
          <w:kern w:val="0"/>
          <w:szCs w:val="22"/>
          <w14:textFill>
            <w14:solidFill>
              <w14:schemeClr w14:val="tx1"/>
            </w14:solidFill>
          </w14:textFill>
        </w:rPr>
      </w:pPr>
      <w:bookmarkStart w:id="25" w:name="pindex93"/>
      <w:bookmarkEnd w:id="25"/>
      <w:r>
        <w:rPr>
          <w:rFonts w:hint="eastAsia" w:ascii="Times New Roman" w:hAnsi="Times New Roman" w:eastAsia="黑体" w:cs="黑体"/>
          <w:b w:val="0"/>
          <w:bCs w:val="0"/>
          <w:color w:val="000000" w:themeColor="text1"/>
          <w:kern w:val="0"/>
          <w:szCs w:val="22"/>
          <w14:textFill>
            <w14:solidFill>
              <w14:schemeClr w14:val="tx1"/>
            </w14:solidFill>
          </w14:textFill>
        </w:rPr>
        <w:t>七、作品提交及评审安排</w:t>
      </w:r>
    </w:p>
    <w:p w14:paraId="25828C9B">
      <w:pPr>
        <w:spacing w:line="560" w:lineRule="exact"/>
        <w:ind w:firstLine="640" w:firstLineChars="200"/>
        <w:jc w:val="both"/>
        <w:rPr>
          <w:rFonts w:ascii="Times New Roman" w:hAnsi="Times New Roman" w:eastAsia="仿宋_GB2312" w:cs="仿宋_GB2312"/>
          <w:sz w:val="32"/>
          <w:szCs w:val="32"/>
          <w:lang w:val="en-US"/>
        </w:rPr>
      </w:pPr>
      <w:r>
        <w:rPr>
          <w:rFonts w:ascii="Times New Roman" w:hAnsi="Times New Roman" w:eastAsia="仿宋_GB2312" w:cs="仿宋_GB2312"/>
          <w:sz w:val="32"/>
          <w:szCs w:val="32"/>
          <w:lang w:val="en-US"/>
        </w:rPr>
        <w:t>各学院于2024年10月前进行作品申报及其作者的资格及形式审查，并组成本学院评审委员会</w:t>
      </w:r>
      <w:r>
        <w:rPr>
          <w:rFonts w:hint="eastAsia" w:ascii="Times New Roman" w:hAnsi="Times New Roman" w:eastAsia="仿宋_GB2312" w:cs="仿宋_GB2312"/>
          <w:sz w:val="32"/>
          <w:szCs w:val="32"/>
          <w:lang w:val="en-US"/>
        </w:rPr>
        <w:t>。</w:t>
      </w:r>
    </w:p>
    <w:p w14:paraId="1C58DC25">
      <w:pPr>
        <w:spacing w:line="560" w:lineRule="exact"/>
        <w:ind w:firstLine="640" w:firstLineChars="200"/>
        <w:jc w:val="both"/>
        <w:rPr>
          <w:rFonts w:ascii="Times New Roman" w:hAnsi="Times New Roman" w:eastAsia="仿宋_GB2312" w:cs="仿宋_GB2312"/>
          <w:sz w:val="32"/>
          <w:szCs w:val="32"/>
          <w:lang w:val="en-US"/>
        </w:rPr>
      </w:pPr>
      <w:r>
        <w:rPr>
          <w:rFonts w:ascii="Times New Roman" w:hAnsi="Times New Roman" w:eastAsia="仿宋_GB2312" w:cs="仿宋_GB2312"/>
          <w:sz w:val="32"/>
          <w:szCs w:val="32"/>
          <w:lang w:val="en-US"/>
        </w:rPr>
        <w:t>各学院评审委员会于2024年1</w:t>
      </w:r>
      <w:r>
        <w:rPr>
          <w:rFonts w:hint="eastAsia" w:ascii="Times New Roman" w:hAnsi="Times New Roman" w:eastAsia="仿宋_GB2312" w:cs="仿宋_GB2312"/>
          <w:sz w:val="32"/>
          <w:szCs w:val="32"/>
          <w:lang w:val="en-US"/>
        </w:rPr>
        <w:t>0</w:t>
      </w:r>
      <w:r>
        <w:rPr>
          <w:rFonts w:ascii="Times New Roman" w:hAnsi="Times New Roman" w:eastAsia="仿宋_GB2312" w:cs="仿宋_GB2312"/>
          <w:sz w:val="32"/>
          <w:szCs w:val="32"/>
          <w:lang w:val="en-US"/>
        </w:rPr>
        <w:t>月底前完成对本学院申报作品的院级选拔赛，择优挑选作品，于2024年1</w:t>
      </w:r>
      <w:r>
        <w:rPr>
          <w:rFonts w:hint="eastAsia" w:ascii="Times New Roman" w:hAnsi="Times New Roman" w:eastAsia="仿宋_GB2312" w:cs="仿宋_GB2312"/>
          <w:sz w:val="32"/>
          <w:szCs w:val="32"/>
          <w:lang w:val="en-US"/>
        </w:rPr>
        <w:t>1</w:t>
      </w:r>
      <w:r>
        <w:rPr>
          <w:rFonts w:ascii="Times New Roman" w:hAnsi="Times New Roman" w:eastAsia="仿宋_GB2312" w:cs="仿宋_GB2312"/>
          <w:sz w:val="32"/>
          <w:szCs w:val="32"/>
          <w:lang w:val="en-US"/>
        </w:rPr>
        <w:t>月</w:t>
      </w:r>
      <w:r>
        <w:rPr>
          <w:rFonts w:hint="eastAsia" w:ascii="Times New Roman" w:hAnsi="Times New Roman" w:eastAsia="仿宋_GB2312" w:cs="仿宋_GB2312"/>
          <w:sz w:val="32"/>
          <w:szCs w:val="32"/>
          <w:lang w:val="en-US"/>
        </w:rPr>
        <w:t>8日前</w:t>
      </w:r>
      <w:r>
        <w:rPr>
          <w:rFonts w:ascii="Times New Roman" w:hAnsi="Times New Roman" w:eastAsia="仿宋_GB2312" w:cs="仿宋_GB2312"/>
          <w:sz w:val="32"/>
          <w:szCs w:val="32"/>
          <w:lang w:val="en-US"/>
        </w:rPr>
        <w:t>，向校组委会办公室（办公地点设在南湖校区立德楼团委403室）交送书面的作品申报书（附件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11</w:t>
      </w:r>
      <w:r>
        <w:rPr>
          <w:rFonts w:ascii="Times New Roman" w:hAnsi="Times New Roman" w:eastAsia="仿宋_GB2312" w:cs="仿宋_GB2312"/>
          <w:sz w:val="32"/>
          <w:szCs w:val="32"/>
          <w:lang w:val="en-US"/>
        </w:rPr>
        <w:t>）及作品汇总登记表（附件1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_GB2312" w:cs="仿宋_GB2312"/>
          <w:sz w:val="32"/>
          <w:szCs w:val="32"/>
          <w:lang w:val="en-US"/>
        </w:rPr>
        <w:t>），电子版发送至校科协邮箱</w:t>
      </w:r>
      <w:r>
        <w:rPr>
          <w:rFonts w:ascii="Times New Roman" w:hAnsi="Times New Roman" w:eastAsia="仿宋_GB2312"/>
        </w:rPr>
        <w:fldChar w:fldCharType="begin"/>
      </w:r>
      <w:r>
        <w:rPr>
          <w:rFonts w:ascii="Times New Roman" w:hAnsi="Times New Roman" w:eastAsia="仿宋_GB2312"/>
        </w:rPr>
        <w:instrText xml:space="preserve"> HYPERLINK "mailto:wutxskx@163.com。" </w:instrText>
      </w:r>
      <w:r>
        <w:rPr>
          <w:rFonts w:ascii="Times New Roman" w:hAnsi="Times New Roman" w:eastAsia="仿宋_GB2312"/>
        </w:rPr>
        <w:fldChar w:fldCharType="separate"/>
      </w:r>
      <w:r>
        <w:rPr>
          <w:rStyle w:val="9"/>
          <w:rFonts w:ascii="Times New Roman" w:hAnsi="Times New Roman" w:eastAsia="仿宋_GB2312" w:cs="仿宋_GB2312"/>
          <w:sz w:val="32"/>
          <w:szCs w:val="32"/>
          <w:lang w:val="en-US"/>
        </w:rPr>
        <w:t>wutxskx@163.com。</w:t>
      </w:r>
      <w:r>
        <w:rPr>
          <w:rStyle w:val="9"/>
          <w:rFonts w:ascii="Times New Roman" w:hAnsi="Times New Roman" w:eastAsia="仿宋_GB2312" w:cs="仿宋_GB2312"/>
          <w:sz w:val="32"/>
          <w:szCs w:val="32"/>
          <w:lang w:val="en-US"/>
        </w:rPr>
        <w:fldChar w:fldCharType="end"/>
      </w:r>
    </w:p>
    <w:p w14:paraId="785867F8">
      <w:pPr>
        <w:spacing w:line="560" w:lineRule="exact"/>
        <w:ind w:firstLine="640" w:firstLineChars="200"/>
        <w:jc w:val="both"/>
        <w:rPr>
          <w:rFonts w:ascii="Times New Roman" w:hAnsi="Times New Roman" w:eastAsia="仿宋_GB2312" w:cs="Times New Roman"/>
          <w:sz w:val="28"/>
          <w:szCs w:val="32"/>
        </w:rPr>
      </w:pPr>
      <w:r>
        <w:rPr>
          <w:rFonts w:ascii="Times New Roman" w:hAnsi="Times New Roman" w:eastAsia="仿宋_GB2312" w:cs="仿宋_GB2312"/>
          <w:sz w:val="32"/>
          <w:szCs w:val="32"/>
          <w:lang w:val="en-US"/>
        </w:rPr>
        <w:t>2024年11月</w:t>
      </w:r>
      <w:r>
        <w:rPr>
          <w:rFonts w:hint="eastAsia" w:ascii="Times New Roman" w:hAnsi="Times New Roman" w:eastAsia="仿宋_GB2312" w:cs="仿宋_GB2312"/>
          <w:sz w:val="32"/>
          <w:szCs w:val="32"/>
          <w:lang w:val="en-US"/>
        </w:rPr>
        <w:t>中旬</w:t>
      </w:r>
      <w:r>
        <w:rPr>
          <w:rFonts w:ascii="Times New Roman" w:hAnsi="Times New Roman" w:eastAsia="仿宋_GB2312" w:cs="仿宋_GB2312"/>
          <w:sz w:val="32"/>
          <w:szCs w:val="32"/>
          <w:lang w:val="en-US"/>
        </w:rPr>
        <w:t>至2024年12月</w:t>
      </w:r>
      <w:r>
        <w:rPr>
          <w:rFonts w:hint="eastAsia" w:ascii="Times New Roman" w:hAnsi="Times New Roman" w:eastAsia="仿宋_GB2312" w:cs="仿宋_GB2312"/>
          <w:sz w:val="32"/>
          <w:szCs w:val="32"/>
          <w:lang w:val="en-US"/>
        </w:rPr>
        <w:t>中旬，校评审委员会对作品进行书面评审</w:t>
      </w:r>
      <w:r>
        <w:rPr>
          <w:rFonts w:ascii="Times New Roman" w:hAnsi="Times New Roman" w:eastAsia="仿宋_GB2312" w:cs="仿宋_GB2312"/>
          <w:sz w:val="32"/>
          <w:szCs w:val="32"/>
          <w:lang w:val="en-US"/>
        </w:rPr>
        <w:t>、对入围终审决赛</w:t>
      </w:r>
      <w:bookmarkStart w:id="26" w:name="_GoBack"/>
      <w:bookmarkEnd w:id="26"/>
      <w:r>
        <w:rPr>
          <w:rFonts w:ascii="Times New Roman" w:hAnsi="Times New Roman" w:eastAsia="仿宋_GB2312" w:cs="仿宋_GB2312"/>
          <w:sz w:val="32"/>
          <w:szCs w:val="32"/>
          <w:lang w:val="en-US"/>
        </w:rPr>
        <w:t>项目进行公开答辩</w:t>
      </w:r>
      <w:r>
        <w:rPr>
          <w:rFonts w:hint="eastAsia" w:ascii="Times New Roman" w:hAnsi="Times New Roman" w:eastAsia="仿宋_GB2312" w:cs="仿宋_GB2312"/>
          <w:sz w:val="32"/>
          <w:szCs w:val="32"/>
          <w:lang w:val="en-US"/>
        </w:rPr>
        <w:t>。</w:t>
      </w:r>
    </w:p>
    <w:sectPr>
      <w:footerReference r:id="rId3" w:type="default"/>
      <w:pgSz w:w="11906" w:h="16838"/>
      <w:pgMar w:top="1985" w:right="1588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楷体简体">
    <w:altName w:val="楷体_GB2312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34997134"/>
    </w:sdtPr>
    <w:sdtEndPr>
      <w:rPr>
        <w:rFonts w:ascii="Times New Roman" w:hAnsi="Times New Roman" w:cs="Times New Roman"/>
        <w:sz w:val="24"/>
        <w:szCs w:val="24"/>
      </w:rPr>
    </w:sdtEndPr>
    <w:sdtContent>
      <w:p w14:paraId="51353FA7">
        <w:pPr>
          <w:pStyle w:val="5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  <w:lang w:val="zh-CN"/>
          </w:rPr>
          <w:t>2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39917B22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Y2OGM1NTVhMWZkYzAxODEwYjA0ZDliMzMwYzM3NTAifQ=="/>
  </w:docVars>
  <w:rsids>
    <w:rsidRoot w:val="77ABAE50"/>
    <w:rsid w:val="00001931"/>
    <w:rsid w:val="00057E21"/>
    <w:rsid w:val="000758B7"/>
    <w:rsid w:val="00076BCB"/>
    <w:rsid w:val="000B71C2"/>
    <w:rsid w:val="000D0E79"/>
    <w:rsid w:val="001023FF"/>
    <w:rsid w:val="00125F0D"/>
    <w:rsid w:val="00165A5E"/>
    <w:rsid w:val="002356E2"/>
    <w:rsid w:val="0024276A"/>
    <w:rsid w:val="002C0B6C"/>
    <w:rsid w:val="002D6F7E"/>
    <w:rsid w:val="00315AA0"/>
    <w:rsid w:val="00345939"/>
    <w:rsid w:val="00364599"/>
    <w:rsid w:val="003B6ABC"/>
    <w:rsid w:val="00474414"/>
    <w:rsid w:val="004D299A"/>
    <w:rsid w:val="004D57F4"/>
    <w:rsid w:val="00521894"/>
    <w:rsid w:val="0052570B"/>
    <w:rsid w:val="005A652C"/>
    <w:rsid w:val="005B61EC"/>
    <w:rsid w:val="005C5215"/>
    <w:rsid w:val="006C16A5"/>
    <w:rsid w:val="006E46EA"/>
    <w:rsid w:val="00791E20"/>
    <w:rsid w:val="007A2976"/>
    <w:rsid w:val="007A4A58"/>
    <w:rsid w:val="007D64A1"/>
    <w:rsid w:val="008007BE"/>
    <w:rsid w:val="00801269"/>
    <w:rsid w:val="008049AB"/>
    <w:rsid w:val="0083668A"/>
    <w:rsid w:val="008625DC"/>
    <w:rsid w:val="00874B06"/>
    <w:rsid w:val="00891834"/>
    <w:rsid w:val="008F6A3D"/>
    <w:rsid w:val="00925DBA"/>
    <w:rsid w:val="00931D91"/>
    <w:rsid w:val="009D60A5"/>
    <w:rsid w:val="009F11AB"/>
    <w:rsid w:val="009F7616"/>
    <w:rsid w:val="00A15C70"/>
    <w:rsid w:val="00A36D49"/>
    <w:rsid w:val="00AA15EB"/>
    <w:rsid w:val="00AC2138"/>
    <w:rsid w:val="00B17DD2"/>
    <w:rsid w:val="00B36F3C"/>
    <w:rsid w:val="00B74F34"/>
    <w:rsid w:val="00B76E4E"/>
    <w:rsid w:val="00B805B1"/>
    <w:rsid w:val="00BB5157"/>
    <w:rsid w:val="00BD093A"/>
    <w:rsid w:val="00C03274"/>
    <w:rsid w:val="00C36610"/>
    <w:rsid w:val="00C42E2E"/>
    <w:rsid w:val="00CD4E95"/>
    <w:rsid w:val="00D23262"/>
    <w:rsid w:val="00D313D2"/>
    <w:rsid w:val="00D41382"/>
    <w:rsid w:val="00D50D53"/>
    <w:rsid w:val="00D6127A"/>
    <w:rsid w:val="00D91170"/>
    <w:rsid w:val="00DC3C78"/>
    <w:rsid w:val="00DE6319"/>
    <w:rsid w:val="00E05E64"/>
    <w:rsid w:val="00E437FC"/>
    <w:rsid w:val="00E77768"/>
    <w:rsid w:val="00E81454"/>
    <w:rsid w:val="00E90D22"/>
    <w:rsid w:val="00E9772F"/>
    <w:rsid w:val="00EA6CD5"/>
    <w:rsid w:val="00ED54ED"/>
    <w:rsid w:val="00F21023"/>
    <w:rsid w:val="00FE6B8E"/>
    <w:rsid w:val="00FF5AF4"/>
    <w:rsid w:val="023A2E4D"/>
    <w:rsid w:val="03157416"/>
    <w:rsid w:val="053E4644"/>
    <w:rsid w:val="05BB42A5"/>
    <w:rsid w:val="09B71502"/>
    <w:rsid w:val="0E6D6359"/>
    <w:rsid w:val="14051DAD"/>
    <w:rsid w:val="1683496B"/>
    <w:rsid w:val="20502D83"/>
    <w:rsid w:val="25082258"/>
    <w:rsid w:val="291B6C85"/>
    <w:rsid w:val="362353CB"/>
    <w:rsid w:val="37C53CCF"/>
    <w:rsid w:val="3A354BBB"/>
    <w:rsid w:val="3CAB7EC8"/>
    <w:rsid w:val="45CE622B"/>
    <w:rsid w:val="4ECE7616"/>
    <w:rsid w:val="55F935F1"/>
    <w:rsid w:val="5FAC09A5"/>
    <w:rsid w:val="626F5370"/>
    <w:rsid w:val="717107AE"/>
    <w:rsid w:val="729D3834"/>
    <w:rsid w:val="77477B6D"/>
    <w:rsid w:val="77ABAE50"/>
    <w:rsid w:val="78DE6954"/>
    <w:rsid w:val="78E2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5"/>
    <w:autoRedefine/>
    <w:qFormat/>
    <w:uiPriority w:val="9"/>
    <w:pPr>
      <w:widowControl/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36"/>
      <w:sz w:val="48"/>
      <w:szCs w:val="48"/>
    </w:rPr>
  </w:style>
  <w:style w:type="paragraph" w:styleId="3">
    <w:name w:val="heading 2"/>
    <w:basedOn w:val="1"/>
    <w:next w:val="1"/>
    <w:link w:val="16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autoRedefine/>
    <w:unhideWhenUsed/>
    <w:qFormat/>
    <w:uiPriority w:val="9"/>
    <w:pPr>
      <w:keepNext/>
      <w:keepLines/>
      <w:widowControl/>
      <w:tabs>
        <w:tab w:val="left" w:pos="0"/>
      </w:tabs>
      <w:spacing w:line="560" w:lineRule="exact"/>
      <w:ind w:left="454" w:hanging="454"/>
      <w:jc w:val="left"/>
      <w:outlineLvl w:val="2"/>
    </w:pPr>
    <w:rPr>
      <w:rFonts w:ascii="方正楷体简体" w:hAnsi="方正楷体简体" w:eastAsia="方正楷体简体" w:cs="Times New Roman"/>
      <w:kern w:val="0"/>
      <w:sz w:val="32"/>
      <w:lang w:val="en-GB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2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Hyperlink"/>
    <w:basedOn w:val="8"/>
    <w:autoRedefine/>
    <w:unhideWhenUsed/>
    <w:qFormat/>
    <w:uiPriority w:val="99"/>
    <w:rPr>
      <w:color w:val="0026E5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fontstyle01"/>
    <w:basedOn w:val="8"/>
    <w:autoRedefine/>
    <w:qFormat/>
    <w:uiPriority w:val="0"/>
    <w:rPr>
      <w:rFonts w:hint="eastAsia" w:ascii="宋体" w:hAnsi="宋体" w:eastAsia="宋体"/>
      <w:color w:val="000000"/>
      <w:sz w:val="22"/>
      <w:szCs w:val="22"/>
    </w:rPr>
  </w:style>
  <w:style w:type="character" w:customStyle="1" w:styleId="11">
    <w:name w:val="页眉 字符"/>
    <w:basedOn w:val="8"/>
    <w:link w:val="6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8"/>
    <w:link w:val="5"/>
    <w:autoRedefine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13">
    <w:name w:val="List Paragraph"/>
    <w:basedOn w:val="1"/>
    <w:autoRedefine/>
    <w:unhideWhenUsed/>
    <w:qFormat/>
    <w:uiPriority w:val="34"/>
    <w:pPr>
      <w:ind w:firstLine="420" w:firstLineChars="200"/>
    </w:pPr>
  </w:style>
  <w:style w:type="paragraph" w:customStyle="1" w:styleId="14">
    <w:name w:val="Char"/>
    <w:basedOn w:val="1"/>
    <w:autoRedefine/>
    <w:qFormat/>
    <w:uiPriority w:val="0"/>
    <w:rPr>
      <w:rFonts w:ascii="Times New Roman" w:hAnsi="Times New Roman" w:eastAsia="宋体" w:cs="Times New Roman"/>
      <w:szCs w:val="20"/>
    </w:rPr>
  </w:style>
  <w:style w:type="character" w:customStyle="1" w:styleId="15">
    <w:name w:val="标题 1 字符"/>
    <w:basedOn w:val="8"/>
    <w:link w:val="2"/>
    <w:autoRedefine/>
    <w:qFormat/>
    <w:uiPriority w:val="9"/>
    <w:rPr>
      <w:rFonts w:ascii="宋体" w:hAnsi="宋体"/>
      <w:b/>
      <w:bCs/>
      <w:kern w:val="36"/>
      <w:sz w:val="48"/>
      <w:szCs w:val="48"/>
    </w:rPr>
  </w:style>
  <w:style w:type="character" w:customStyle="1" w:styleId="16">
    <w:name w:val="标题 2 字符"/>
    <w:basedOn w:val="8"/>
    <w:link w:val="3"/>
    <w:autoRedefine/>
    <w:semiHidden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17">
    <w:name w:val="标题 3 字符"/>
    <w:basedOn w:val="8"/>
    <w:link w:val="4"/>
    <w:autoRedefine/>
    <w:qFormat/>
    <w:uiPriority w:val="0"/>
    <w:rPr>
      <w:rFonts w:ascii="方正楷体简体" w:hAnsi="方正楷体简体" w:eastAsia="方正楷体简体"/>
      <w:sz w:val="32"/>
      <w:szCs w:val="24"/>
      <w:lang w:val="en-GB"/>
    </w:rPr>
  </w:style>
  <w:style w:type="character" w:customStyle="1" w:styleId="18">
    <w:name w:val="未处理的提及1"/>
    <w:basedOn w:val="8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5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Root xmlns="http://www.founder.com/ProofFile">
  <Root proofFileId="610a6f85-6b2e-41ea-981f-0ace095e4b4f" proofVersionId="1"/>
</Root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ReviewRoot xmlns="http://www.founder.com/style">
  <Review xmlPath="C:\Users\Feng Gang\Documents\方正审校\Temp\Space\20240331\wordStyle\daba48ac-14c8-4773-b186-b3d702a2e1d9.xml" httpUrl="http://gateway.book.founderss.cn/book-review-api/api/doc/aab7c113-d5f6-45c5-b72d-4f2e2e1e62cd/docx"/>
</ReviewRoot>
</file>

<file path=customXml/item4.xml><?xml version="1.0" encoding="utf-8"?>
<ReviewRoot xmlns="http://www.founder.com/review">
  <DuplicateChecking Path="C:\Users\Feng Gang\AppData\Local\Temp\ec696877-f6d4-413f-8a8c-a145347bbeec.xml"/>
  <Review inspectType="易错词检查" inspectCategory="错误" rule="" lookup="硕士学位" content="硕士学历" source="" errorType="1" AllIndex="0" context="申报作品。没有实行资格考试制度的学校，前两年可以按硕士学历申报作品。本硕博连读生，按照四年、两年分别对应本、" id="2123355" bkName="bkReivew2123355" note="0" index="25"/>
  <Review inspectType="易错词检查" inspectCategory="错误" rule="" lookup="翔实" content="详实" source="" errorType="0" AllIndex="0" context="2. 技术报告结构完整、内容详实、包括充分的背景调研、清晰的方案设计、充分的数据/" id="2121250" bkName="bkReivew2121250" note="0" index="14"/>
  <Review inspectType="易错词检查" inspectCategory="错误" rule="" lookup="，包括" content="、包括" source="" errorType="1" AllIndex="0" context="2. 技术报告结构完整、内容详实、包括充分的背景调研、清晰的方案设计、充分的数据/资料支" id="3131002" bkName="bkReivew3131002" note="0" index="16"/>
  <Review inspectType="易错词检查" inspectCategory="错误" rule="" lookup="须" content="需" source="" errorType="0" AllIndex="0" context="学校的学籍管理部门、院系、团委等部门分别进行审核（需严格按要求在指定位置完成签字和盖章）。" id="2142830" bkName="bkReivew2142830" note="0" index="25"/>
  <Review inspectType="易错词检查" inspectCategory="错误" rule="" lookup="评奖" content="设奖" source="" errorType="0" AllIndex="0" context="（七）设奖情况及奖励措施" id="2043311" bkName="bkReivew2043311" note="0" index="3"/>
  <Review inspectType="易错词检查" inspectCategory="错误" rule="" lookup="完成" content="完善" source="" errorType="0" AllIndex="0" context="2024年8-10月，获得特等奖的晋级团队完善作品，冲刺攻关准备争夺“擂主”。在“擂台赛”现场决" id="133711" bkName="bkReivew133711" note="0" index="21"/>
</ReviewRoot>
</file>

<file path=customXml/item5.xml><?xml version="1.0" encoding="utf-8"?>
<ReviewRoot xmlns="http://www.founder.com/knowledge"/>
</file>

<file path=customXml/item6.xml><?xml version="1.0" encoding="utf-8"?>
<ReviewRoot xmlns="http://www.founder.com/operation">
  <CorrigendumButton current="2142830" previous="3131002"/>
</ReviewRoot>
</file>

<file path=customXml/itemProps1.xml><?xml version="1.0" encoding="utf-8"?>
<ds:datastoreItem xmlns:ds="http://schemas.openxmlformats.org/officeDocument/2006/customXml" ds:itemID="{89F3C380-9DD2-4F6E-88C1-03B592524F3C}">
  <ds:schemaRefs/>
</ds:datastoreItem>
</file>

<file path=customXml/itemProps2.xml><?xml version="1.0" encoding="utf-8"?>
<ds:datastoreItem xmlns:ds="http://schemas.openxmlformats.org/officeDocument/2006/customXml" ds:itemID="{0E0B2507-B745-45A4-8C14-06F871F2B370}">
  <ds:schemaRefs/>
</ds:datastoreItem>
</file>

<file path=customXml/itemProps3.xml><?xml version="1.0" encoding="utf-8"?>
<ds:datastoreItem xmlns:ds="http://schemas.openxmlformats.org/officeDocument/2006/customXml" ds:itemID="{3FCC7D5C-5117-4B70-821F-D2EBA9C79BE6}">
  <ds:schemaRefs/>
</ds:datastoreItem>
</file>

<file path=customXml/itemProps4.xml><?xml version="1.0" encoding="utf-8"?>
<ds:datastoreItem xmlns:ds="http://schemas.openxmlformats.org/officeDocument/2006/customXml" ds:itemID="{385D2114-08F7-417E-A8F8-7CD1C461A0FE}">
  <ds:schemaRefs/>
</ds:datastoreItem>
</file>

<file path=customXml/itemProps5.xml><?xml version="1.0" encoding="utf-8"?>
<ds:datastoreItem xmlns:ds="http://schemas.openxmlformats.org/officeDocument/2006/customXml" ds:itemID="{697820FA-06BA-47E3-8EC0-1764AF944BBB}">
  <ds:schemaRefs/>
</ds:datastoreItem>
</file>

<file path=customXml/itemProps6.xml><?xml version="1.0" encoding="utf-8"?>
<ds:datastoreItem xmlns:ds="http://schemas.openxmlformats.org/officeDocument/2006/customXml" ds:itemID="{B5B40D0F-11A3-41CD-A095-E527C6DA160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1812</Words>
  <Characters>1885</Characters>
  <Lines>13</Lines>
  <Paragraphs>3</Paragraphs>
  <TotalTime>0</TotalTime>
  <ScaleCrop>false</ScaleCrop>
  <LinksUpToDate>false</LinksUpToDate>
  <CharactersWithSpaces>1885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2024-09-24T12:39:00Z</dcterms:created>
  <dc:creator>侯博士</dc:creator>
  <cp:lastModifiedBy>金阳</cp:lastModifiedBy>
  <dcterms:modified xsi:type="dcterms:W3CDTF">2024-09-25T09:21:52Z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DD316924A94E98FCB25CE065B300D649_41</vt:lpwstr>
  </property>
</Properties>
</file>