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E62FB">
      <w:pPr>
        <w:pStyle w:val="2"/>
        <w:spacing w:beforeAutospacing="0" w:afterAutospacing="0" w:line="560" w:lineRule="exact"/>
        <w:rPr>
          <w:rFonts w:hint="default" w:ascii="Times New Roman" w:hAnsi="Times New Roman" w:eastAsia="仿宋_GB2312" w:cs="仿宋_GB2312"/>
          <w:b w:val="0"/>
          <w:bCs w:val="0"/>
          <w:color w:val="000000" w:themeColor="text1"/>
          <w:sz w:val="32"/>
          <w:szCs w:val="32"/>
          <w14:textFill>
            <w14:solidFill>
              <w14:schemeClr w14:val="tx1"/>
            </w14:solidFill>
          </w14:textFill>
        </w:rPr>
      </w:pPr>
      <w:r>
        <w:rPr>
          <w:rFonts w:hint="default" w:ascii="Times New Roman" w:hAnsi="Times New Roman" w:eastAsia="仿宋_GB2312" w:cs="仿宋_GB2312"/>
          <w:b w:val="0"/>
          <w:bCs w:val="0"/>
          <w:color w:val="000000" w:themeColor="text1"/>
          <w:sz w:val="32"/>
          <w:szCs w:val="32"/>
          <w14:textFill>
            <w14:solidFill>
              <w14:schemeClr w14:val="tx1"/>
            </w14:solidFill>
          </w14:textFill>
        </w:rPr>
        <w:t>题目</w:t>
      </w:r>
      <w:r>
        <w:rPr>
          <w:rFonts w:ascii="Times New Roman" w:hAnsi="Times New Roman" w:eastAsia="仿宋_GB2312" w:cs="仿宋_GB2312"/>
          <w:b w:val="0"/>
          <w:bCs w:val="0"/>
          <w:color w:val="000000" w:themeColor="text1"/>
          <w:sz w:val="32"/>
          <w:szCs w:val="32"/>
          <w14:textFill>
            <w14:solidFill>
              <w14:schemeClr w14:val="tx1"/>
            </w14:solidFill>
          </w14:textFill>
        </w:rPr>
        <w:t>48：</w:t>
      </w:r>
    </w:p>
    <w:p w14:paraId="38482780">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水轮发电机组过流水质泥沙特性在线监测技术研究</w:t>
      </w:r>
      <w:r>
        <w:rPr>
          <w:rFonts w:ascii="Times New Roman" w:hAnsi="Times New Roman" w:eastAsia="方正小标宋简体" w:cs="方正小标宋简体"/>
          <w:b w:val="0"/>
          <w:bCs w:val="0"/>
          <w:color w:val="000000" w:themeColor="text1"/>
          <w:sz w:val="44"/>
          <w:szCs w:val="44"/>
          <w14:textFill>
            <w14:solidFill>
              <w14:schemeClr w14:val="tx1"/>
            </w14:solidFill>
          </w14:textFill>
        </w:rPr>
        <w:t>”比赛方案</w:t>
      </w:r>
    </w:p>
    <w:p w14:paraId="43203E0E">
      <w:pPr>
        <w:jc w:val="center"/>
        <w:rPr>
          <w:rFonts w:eastAsia="楷体_GB2312" w:cs="楷体_GB2312"/>
          <w:color w:val="000000" w:themeColor="text1"/>
          <w:sz w:val="32"/>
          <w:szCs w:val="32"/>
          <w:lang w:val="en-US"/>
          <w14:textFill>
            <w14:solidFill>
              <w14:schemeClr w14:val="tx1"/>
            </w14:solidFill>
          </w14:textFill>
        </w:rPr>
      </w:pPr>
      <w:r>
        <w:rPr>
          <w:rFonts w:hint="eastAsia" w:eastAsia="楷体_GB2312" w:cs="楷体_GB2312"/>
          <w:color w:val="000000" w:themeColor="text1"/>
          <w:sz w:val="32"/>
          <w:szCs w:val="32"/>
          <w:lang w:val="en-US"/>
          <w14:textFill>
            <w14:solidFill>
              <w14:schemeClr w14:val="tx1"/>
            </w14:solidFill>
          </w14:textFill>
        </w:rPr>
        <w:t>【东方电气集团东方电机有限公司、东方电气长三角（杭州）创新研究院有限公司】</w:t>
      </w:r>
    </w:p>
    <w:p w14:paraId="46F96FC9">
      <w:pPr>
        <w:snapToGrid w:val="0"/>
        <w:spacing w:line="560" w:lineRule="exact"/>
        <w:jc w:val="both"/>
        <w:outlineLvl w:val="0"/>
        <w:rPr>
          <w:rFonts w:eastAsia="方正仿宋_GBK"/>
          <w:color w:val="000000" w:themeColor="text1"/>
          <w:sz w:val="32"/>
          <w:szCs w:val="32"/>
          <w:lang w:val="en-US"/>
          <w14:textFill>
            <w14:solidFill>
              <w14:schemeClr w14:val="tx1"/>
            </w14:solidFill>
          </w14:textFill>
        </w:rPr>
      </w:pPr>
    </w:p>
    <w:p w14:paraId="6A423D8C">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ascii="Times New Roman" w:hAnsi="Times New Roman" w:eastAsia="黑体" w:cs="黑体"/>
          <w:color w:val="000000" w:themeColor="text1"/>
          <w:lang w:val="en-US"/>
          <w14:textFill>
            <w14:solidFill>
              <w14:schemeClr w14:val="tx1"/>
            </w14:solidFill>
          </w14:textFill>
        </w:rPr>
        <w:t>一、</w:t>
      </w:r>
      <w:r>
        <w:rPr>
          <w:rFonts w:hint="eastAsia" w:ascii="Times New Roman" w:hAnsi="Times New Roman" w:eastAsia="黑体" w:cs="黑体"/>
          <w:color w:val="000000" w:themeColor="text1"/>
          <w:lang w:val="en-US"/>
          <w14:textFill>
            <w14:solidFill>
              <w14:schemeClr w14:val="tx1"/>
            </w14:solidFill>
          </w14:textFill>
        </w:rPr>
        <w:t>出题</w:t>
      </w:r>
      <w:r>
        <w:rPr>
          <w:rFonts w:ascii="Times New Roman" w:hAnsi="Times New Roman" w:eastAsia="黑体" w:cs="黑体"/>
          <w:color w:val="000000" w:themeColor="text1"/>
          <w:lang w:val="en-US"/>
          <w14:textFill>
            <w14:solidFill>
              <w14:schemeClr w14:val="tx1"/>
            </w14:solidFill>
          </w14:textFill>
        </w:rPr>
        <w:t>单位</w:t>
      </w:r>
    </w:p>
    <w:p w14:paraId="0A40014C">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东方电气集团东方电机有限公司、东方电气长三角（杭州）创新研究院有限公司</w:t>
      </w:r>
    </w:p>
    <w:p w14:paraId="547E877E">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二、</w:t>
      </w:r>
      <w:r>
        <w:rPr>
          <w:rFonts w:ascii="Times New Roman" w:hAnsi="Times New Roman" w:eastAsia="黑体" w:cs="黑体"/>
          <w:color w:val="000000" w:themeColor="text1"/>
          <w:lang w:val="en-US"/>
          <w14:textFill>
            <w14:solidFill>
              <w14:schemeClr w14:val="tx1"/>
            </w14:solidFill>
          </w14:textFill>
        </w:rPr>
        <w:t>题目名称</w:t>
      </w:r>
    </w:p>
    <w:p w14:paraId="1520C02C">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水轮发电机组过流水质泥沙特性在线监测技术研究</w:t>
      </w:r>
    </w:p>
    <w:p w14:paraId="247911D5">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三、题目介绍</w:t>
      </w:r>
    </w:p>
    <w:p w14:paraId="53ADD48C">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我国水能资源可开发装机容量越</w:t>
      </w:r>
      <w:r>
        <w:rPr>
          <w:rFonts w:eastAsia="仿宋_GB2312" w:cs="仿宋_GB2312"/>
          <w:sz w:val="32"/>
          <w:szCs w:val="32"/>
          <w:lang w:val="en-US"/>
        </w:rPr>
        <w:t>6.6</w:t>
      </w:r>
      <w:r>
        <w:rPr>
          <w:rFonts w:hint="eastAsia" w:eastAsia="仿宋_GB2312" w:cs="仿宋_GB2312"/>
          <w:sz w:val="32"/>
          <w:szCs w:val="32"/>
          <w:lang w:val="en-US"/>
        </w:rPr>
        <w:t>亿千瓦，在西南地区的可开发装机容量约为</w:t>
      </w:r>
      <w:r>
        <w:rPr>
          <w:rFonts w:eastAsia="仿宋_GB2312" w:cs="仿宋_GB2312"/>
          <w:sz w:val="32"/>
          <w:szCs w:val="32"/>
          <w:lang w:val="en-US"/>
        </w:rPr>
        <w:t>4.5</w:t>
      </w:r>
      <w:r>
        <w:rPr>
          <w:rFonts w:hint="eastAsia" w:eastAsia="仿宋_GB2312" w:cs="仿宋_GB2312"/>
          <w:sz w:val="32"/>
          <w:szCs w:val="32"/>
          <w:lang w:val="en-US"/>
        </w:rPr>
        <w:t>亿千瓦，占全国的</w:t>
      </w:r>
      <w:r>
        <w:rPr>
          <w:rFonts w:eastAsia="仿宋_GB2312" w:cs="仿宋_GB2312"/>
          <w:sz w:val="32"/>
          <w:szCs w:val="32"/>
          <w:lang w:val="en-US"/>
        </w:rPr>
        <w:t>68%</w:t>
      </w:r>
      <w:r>
        <w:rPr>
          <w:rFonts w:hint="eastAsia" w:eastAsia="仿宋_GB2312" w:cs="仿宋_GB2312"/>
          <w:sz w:val="32"/>
          <w:szCs w:val="32"/>
          <w:lang w:val="en-US"/>
        </w:rPr>
        <w:t>，开发潜力巨大，其中高水头水力资源蕴藏丰富。但是目前其开发程度极低，仅为技术可开发量的</w:t>
      </w:r>
      <w:r>
        <w:rPr>
          <w:rFonts w:eastAsia="仿宋_GB2312" w:cs="仿宋_GB2312"/>
          <w:sz w:val="32"/>
          <w:szCs w:val="32"/>
          <w:lang w:val="en-US"/>
        </w:rPr>
        <w:t>1%</w:t>
      </w:r>
      <w:r>
        <w:rPr>
          <w:rFonts w:hint="eastAsia" w:eastAsia="仿宋_GB2312" w:cs="仿宋_GB2312"/>
          <w:sz w:val="32"/>
          <w:szCs w:val="32"/>
          <w:lang w:val="en-US"/>
        </w:rPr>
        <w:t>左右。其面临的重要挑战主要是水头落差极大，泥沙含量高。</w:t>
      </w:r>
    </w:p>
    <w:p w14:paraId="4EBFD33A">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这种高水头大容量河流中不可避免地将混入泥沙颗粒，对水轮发电机组过流表面造成磨损破坏，增加了过流部件结构表面的粗糙度，降低了机组的性能。在机组效率性能方面，泥沙磨损效应会增加机械部件的间隙，增加容积损失，在泥沙磨损和气蚀的联合作用下，过流部件表面形状发生了改变，叶轮型线遭到改变，使其做工效率下降；在机组运行方面，泥沙磨损造成的材料破坏会导致过流部件破坏失效，严重时使其机组产生强烈振动和噪音，直接影响了水轮机的安全稳定性和服役寿命。中国水力发电工程学会发布的数据表明，水轮机磨蚀破坏会导致水轮机效率降低</w:t>
      </w:r>
      <w:r>
        <w:rPr>
          <w:rFonts w:eastAsia="仿宋_GB2312" w:cs="仿宋_GB2312"/>
          <w:sz w:val="32"/>
          <w:szCs w:val="32"/>
          <w:lang w:val="en-US"/>
        </w:rPr>
        <w:t>5%~10%</w:t>
      </w:r>
      <w:r>
        <w:rPr>
          <w:rFonts w:hint="eastAsia" w:eastAsia="仿宋_GB2312" w:cs="仿宋_GB2312"/>
          <w:sz w:val="32"/>
          <w:szCs w:val="32"/>
          <w:lang w:val="en-US"/>
        </w:rPr>
        <w:t>，使用寿命缩短</w:t>
      </w:r>
      <w:r>
        <w:rPr>
          <w:rFonts w:eastAsia="仿宋_GB2312" w:cs="仿宋_GB2312"/>
          <w:sz w:val="32"/>
          <w:szCs w:val="32"/>
          <w:lang w:val="en-US"/>
        </w:rPr>
        <w:t>10%~20%</w:t>
      </w:r>
      <w:r>
        <w:rPr>
          <w:rFonts w:hint="eastAsia" w:eastAsia="仿宋_GB2312" w:cs="仿宋_GB2312"/>
          <w:sz w:val="32"/>
          <w:szCs w:val="32"/>
          <w:lang w:val="en-US"/>
        </w:rPr>
        <w:t>。据国际水电协会统计，全球水电站每年因磨蚀造成的经济损失超过</w:t>
      </w:r>
      <w:r>
        <w:rPr>
          <w:rFonts w:eastAsia="仿宋_GB2312" w:cs="仿宋_GB2312"/>
          <w:sz w:val="32"/>
          <w:szCs w:val="32"/>
          <w:lang w:val="en-US"/>
        </w:rPr>
        <w:t>100</w:t>
      </w:r>
      <w:r>
        <w:rPr>
          <w:rFonts w:hint="eastAsia" w:eastAsia="仿宋_GB2312" w:cs="仿宋_GB2312"/>
          <w:sz w:val="32"/>
          <w:szCs w:val="32"/>
          <w:lang w:val="en-US"/>
        </w:rPr>
        <w:t>亿美元。</w:t>
      </w:r>
    </w:p>
    <w:p w14:paraId="30174624">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通常，水轮发电机组过流水质泥沙特性对于机组的磨损特性影响较大，泥沙浓度、泥沙颗粒级配、泥沙硬度以及泥沙形状等都影响着水轮发电机组过流部件的磨损特性。目前，水体泥沙测量通常采用烘干法、过滤法等人工取样分析方法，对上游水体进行测量。但该方法具有明显的时滞，不能准确反映流域泥沙浓度的变化情况。同时，该方法无法真实反映对水轮机本体结构中水体泥沙情况，对机组磨损评估而言作用有限。而由于水轮机本体结构中水压高、流速快，且运行安全性要求极高，难以开展水轮机腔室内部的水体泥沙测量。总体而言，水轮机过流水体泥沙测量是国际上的普遍性难题，亟需一种有效的水体泥沙原位实时测量方法。因此水轮发电机组过流水质泥沙特性的在线监测至关重要，它是水电站发电调度、机组故障预测的重要依据。</w:t>
      </w:r>
    </w:p>
    <w:p w14:paraId="07EAA667">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请按照包含以下内容的技术路线来设制“水轮发电机组过流水质泥沙特性在线监测技术研究”技术方案：</w:t>
      </w:r>
    </w:p>
    <w:p w14:paraId="4FFE704B">
      <w:pPr>
        <w:spacing w:line="560" w:lineRule="exact"/>
        <w:ind w:firstLine="640" w:firstLineChars="200"/>
        <w:rPr>
          <w:rFonts w:eastAsia="仿宋_GB2312" w:cs="仿宋_GB2312"/>
          <w:sz w:val="32"/>
          <w:szCs w:val="32"/>
          <w:lang w:val="en-US"/>
        </w:rPr>
      </w:pPr>
      <w:r>
        <w:rPr>
          <w:rFonts w:eastAsia="仿宋_GB2312" w:cs="仿宋_GB2312"/>
          <w:sz w:val="32"/>
          <w:szCs w:val="32"/>
        </w:rPr>
        <w:t>1.</w:t>
      </w:r>
      <w:r>
        <w:rPr>
          <w:rFonts w:hint="eastAsia" w:eastAsia="仿宋_GB2312" w:cs="仿宋_GB2312"/>
          <w:sz w:val="32"/>
          <w:szCs w:val="32"/>
          <w:lang w:val="en-US"/>
        </w:rPr>
        <w:t>取样位置的确定。从水库上游、引水压力钢管、蜗壳门、尾水门、下库等其它可选择位置，选取一个或多个取样位置，同时应考虑不同类型机组（混流、抽蓄、冲击式）的通用性问题；调研泥沙沿水库深度方向的分布规律，比较库区取样和机组过流取样的差异。</w:t>
      </w:r>
    </w:p>
    <w:p w14:paraId="6F26D3E5">
      <w:pPr>
        <w:spacing w:line="560" w:lineRule="exact"/>
        <w:ind w:firstLine="640" w:firstLineChars="200"/>
        <w:rPr>
          <w:rFonts w:eastAsia="仿宋_GB2312" w:cs="仿宋_GB2312"/>
          <w:sz w:val="32"/>
          <w:szCs w:val="32"/>
          <w:lang w:val="en-US"/>
        </w:rPr>
      </w:pPr>
      <w:r>
        <w:rPr>
          <w:rFonts w:eastAsia="仿宋_GB2312" w:cs="仿宋_GB2312"/>
          <w:sz w:val="32"/>
          <w:szCs w:val="32"/>
        </w:rPr>
        <w:t>2.</w:t>
      </w:r>
      <w:r>
        <w:rPr>
          <w:rFonts w:hint="eastAsia" w:eastAsia="仿宋_GB2312" w:cs="仿宋_GB2312"/>
          <w:sz w:val="32"/>
          <w:szCs w:val="32"/>
          <w:lang w:val="en-US"/>
        </w:rPr>
        <w:t>取样设备安装的可行性。方案在设计时应考虑取样点处的流量、压力、流速等信息，确保取样的科学性和在线监测硬件系统的可靠性，尽量减少对机组设备的加工改动，同时不能对机组正常运行造成影响，不能产生安全隐患。</w:t>
      </w:r>
    </w:p>
    <w:p w14:paraId="3F9BF28D">
      <w:pPr>
        <w:spacing w:line="560" w:lineRule="exact"/>
        <w:ind w:firstLine="640" w:firstLineChars="200"/>
        <w:rPr>
          <w:rFonts w:eastAsia="仿宋_GB2312" w:cs="仿宋_GB2312"/>
          <w:sz w:val="32"/>
          <w:szCs w:val="32"/>
          <w:lang w:val="en-US"/>
        </w:rPr>
      </w:pPr>
      <w:r>
        <w:rPr>
          <w:rFonts w:eastAsia="仿宋_GB2312" w:cs="仿宋_GB2312"/>
          <w:sz w:val="32"/>
          <w:szCs w:val="32"/>
        </w:rPr>
        <w:t>3.</w:t>
      </w:r>
      <w:r>
        <w:rPr>
          <w:rFonts w:hint="eastAsia" w:eastAsia="仿宋_GB2312" w:cs="仿宋_GB2312"/>
          <w:sz w:val="32"/>
          <w:szCs w:val="32"/>
          <w:lang w:val="en-US"/>
        </w:rPr>
        <w:t>监测的频率与方式。需要确定测量是在动水或静水中进行、要求的水量大小、完成一次测量计算所需时间、所需的监测频率等信息。</w:t>
      </w:r>
    </w:p>
    <w:p w14:paraId="5CB4D686">
      <w:pPr>
        <w:spacing w:line="560" w:lineRule="exact"/>
        <w:ind w:firstLine="640" w:firstLineChars="200"/>
        <w:rPr>
          <w:rFonts w:eastAsia="仿宋_GB2312" w:cs="仿宋_GB2312"/>
          <w:sz w:val="32"/>
          <w:szCs w:val="32"/>
          <w:lang w:val="en-US"/>
        </w:rPr>
      </w:pPr>
      <w:r>
        <w:rPr>
          <w:rFonts w:eastAsia="仿宋_GB2312" w:cs="仿宋_GB2312"/>
          <w:sz w:val="32"/>
          <w:szCs w:val="32"/>
        </w:rPr>
        <w:t>4.</w:t>
      </w:r>
      <w:r>
        <w:rPr>
          <w:rFonts w:hint="eastAsia" w:eastAsia="仿宋_GB2312" w:cs="仿宋_GB2312"/>
          <w:sz w:val="32"/>
          <w:szCs w:val="32"/>
          <w:lang w:val="en-US"/>
        </w:rPr>
        <w:t>具体监测指标。需确定在线监测指标（泥沙含量、径粒分布等）与线下监测指标（矿物种类、形状等）的具体划分，以及线下监测指标的实现方式。</w:t>
      </w:r>
    </w:p>
    <w:p w14:paraId="2096C193">
      <w:pPr>
        <w:spacing w:line="560" w:lineRule="exact"/>
        <w:ind w:firstLine="640" w:firstLineChars="200"/>
        <w:rPr>
          <w:rFonts w:eastAsia="仿宋_GB2312" w:cs="仿宋_GB2312"/>
          <w:sz w:val="32"/>
          <w:szCs w:val="32"/>
          <w:lang w:val="en-US"/>
        </w:rPr>
      </w:pPr>
      <w:r>
        <w:rPr>
          <w:rFonts w:eastAsia="仿宋_GB2312" w:cs="仿宋_GB2312"/>
          <w:sz w:val="32"/>
          <w:szCs w:val="32"/>
        </w:rPr>
        <w:t>5.</w:t>
      </w:r>
      <w:r>
        <w:rPr>
          <w:rFonts w:hint="eastAsia" w:eastAsia="仿宋_GB2312" w:cs="仿宋_GB2312"/>
          <w:sz w:val="32"/>
          <w:szCs w:val="32"/>
          <w:lang w:val="en-US"/>
        </w:rPr>
        <w:t>确定取样的合理时间，综合考虑丰水期、枯水期、库容大小、机组运行初期等影响因素。</w:t>
      </w:r>
    </w:p>
    <w:p w14:paraId="528CF7A6">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四、参赛对象</w:t>
      </w:r>
    </w:p>
    <w:p w14:paraId="05056D94">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3C498B2D">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6C6D10F7">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2F30C8D8">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7D95DCB5">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p w14:paraId="79410E93">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五、答题要求</w:t>
      </w:r>
    </w:p>
    <w:p w14:paraId="4FD9234C">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根据选题情况作品主要涵盖以下要求：</w:t>
      </w:r>
    </w:p>
    <w:p w14:paraId="582C0B3A">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1.</w:t>
      </w:r>
      <w:r>
        <w:rPr>
          <w:rFonts w:hint="eastAsia" w:eastAsia="仿宋_GB2312" w:cs="仿宋_GB2312"/>
          <w:sz w:val="32"/>
          <w:szCs w:val="32"/>
          <w:lang w:val="en-US"/>
        </w:rPr>
        <w:t>提出一种水轮发电机组过流水质泥沙特性的在线监测技术方案</w:t>
      </w:r>
      <w:r>
        <w:rPr>
          <w:rFonts w:eastAsia="仿宋_GB2312" w:cs="仿宋_GB2312"/>
          <w:sz w:val="32"/>
          <w:szCs w:val="32"/>
          <w:lang w:val="en-US"/>
        </w:rPr>
        <w:t>；</w:t>
      </w:r>
    </w:p>
    <w:p w14:paraId="2CB78A23">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w:t>
      </w:r>
      <w:r>
        <w:rPr>
          <w:rFonts w:hint="eastAsia" w:eastAsia="仿宋_GB2312" w:cs="仿宋_GB2312"/>
          <w:sz w:val="32"/>
          <w:szCs w:val="32"/>
          <w:lang w:val="en-US"/>
        </w:rPr>
        <w:t>提交技术方案书，包括技术原理、实现形式、工程样机设计方案等内容</w:t>
      </w:r>
      <w:r>
        <w:rPr>
          <w:rFonts w:eastAsia="仿宋_GB2312" w:cs="仿宋_GB2312"/>
          <w:sz w:val="32"/>
          <w:szCs w:val="32"/>
          <w:lang w:val="en-US"/>
        </w:rPr>
        <w:t>；</w:t>
      </w:r>
    </w:p>
    <w:p w14:paraId="183B20EE">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3.根据大赛整体时间安排并结合科研攻关的科学规律，8月</w:t>
      </w:r>
      <w:r>
        <w:rPr>
          <w:rFonts w:hint="eastAsia" w:eastAsia="仿宋_GB2312" w:cs="仿宋_GB2312"/>
          <w:sz w:val="32"/>
          <w:szCs w:val="32"/>
          <w:lang w:val="en-US"/>
        </w:rPr>
        <w:t>5</w:t>
      </w:r>
      <w:r>
        <w:rPr>
          <w:rFonts w:eastAsia="仿宋_GB2312" w:cs="仿宋_GB2312"/>
          <w:sz w:val="32"/>
          <w:szCs w:val="32"/>
          <w:lang w:val="en-US"/>
        </w:rPr>
        <w:t>日前，各参赛团队提交作品；</w:t>
      </w:r>
    </w:p>
    <w:p w14:paraId="2F6B177D">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六、作品评选参考标准</w:t>
      </w:r>
    </w:p>
    <w:p w14:paraId="3A70E5C3">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1.基本要求</w:t>
      </w:r>
    </w:p>
    <w:p w14:paraId="182B2B08">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（1）</w:t>
      </w:r>
      <w:r>
        <w:rPr>
          <w:rFonts w:hint="eastAsia" w:eastAsia="仿宋_GB2312" w:cs="仿宋_GB2312"/>
          <w:sz w:val="32"/>
          <w:szCs w:val="32"/>
          <w:lang w:val="en-US"/>
        </w:rPr>
        <w:t>技术原理分析</w:t>
      </w:r>
      <w:r>
        <w:rPr>
          <w:rFonts w:eastAsia="仿宋_GB2312" w:cs="仿宋_GB2312"/>
          <w:sz w:val="32"/>
          <w:szCs w:val="32"/>
          <w:lang w:val="en-US"/>
        </w:rPr>
        <w:t>清晰，</w:t>
      </w:r>
      <w:r>
        <w:rPr>
          <w:rFonts w:hint="eastAsia" w:eastAsia="仿宋_GB2312" w:cs="仿宋_GB2312"/>
          <w:sz w:val="32"/>
          <w:szCs w:val="32"/>
          <w:lang w:val="en-US"/>
        </w:rPr>
        <w:t>实现形式</w:t>
      </w:r>
      <w:r>
        <w:rPr>
          <w:rFonts w:eastAsia="仿宋_GB2312" w:cs="仿宋_GB2312"/>
          <w:sz w:val="32"/>
          <w:szCs w:val="32"/>
          <w:lang w:val="en-US"/>
        </w:rPr>
        <w:t>合理</w:t>
      </w:r>
      <w:r>
        <w:rPr>
          <w:rFonts w:hint="eastAsia" w:eastAsia="仿宋_GB2312" w:cs="仿宋_GB2312"/>
          <w:sz w:val="32"/>
          <w:szCs w:val="32"/>
          <w:lang w:val="en-US"/>
        </w:rPr>
        <w:t>有据</w:t>
      </w:r>
      <w:r>
        <w:rPr>
          <w:rFonts w:eastAsia="仿宋_GB2312" w:cs="仿宋_GB2312"/>
          <w:sz w:val="32"/>
          <w:szCs w:val="32"/>
          <w:lang w:val="en-US"/>
        </w:rPr>
        <w:t>；</w:t>
      </w:r>
    </w:p>
    <w:p w14:paraId="4B1E866E">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w:t>
      </w:r>
      <w:r>
        <w:rPr>
          <w:rFonts w:hint="eastAsia" w:eastAsia="仿宋_GB2312" w:cs="仿宋_GB2312"/>
          <w:sz w:val="32"/>
          <w:szCs w:val="32"/>
          <w:lang w:val="en-US"/>
        </w:rPr>
        <w:t>该设计方案应具备良好的可行性</w:t>
      </w:r>
      <w:r>
        <w:rPr>
          <w:rFonts w:eastAsia="仿宋_GB2312" w:cs="仿宋_GB2312"/>
          <w:sz w:val="32"/>
          <w:szCs w:val="32"/>
          <w:lang w:val="en-US"/>
        </w:rPr>
        <w:t>；</w:t>
      </w:r>
    </w:p>
    <w:p w14:paraId="6D181076">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（3）</w:t>
      </w:r>
      <w:r>
        <w:rPr>
          <w:rFonts w:hint="eastAsia" w:eastAsia="仿宋_GB2312" w:cs="仿宋_GB2312"/>
          <w:sz w:val="32"/>
          <w:szCs w:val="32"/>
          <w:lang w:val="en-US"/>
        </w:rPr>
        <w:t>技术方案书、PPT</w:t>
      </w:r>
      <w:r>
        <w:rPr>
          <w:rFonts w:eastAsia="仿宋_GB2312" w:cs="仿宋_GB2312"/>
          <w:sz w:val="32"/>
          <w:szCs w:val="32"/>
          <w:lang w:val="en-US"/>
        </w:rPr>
        <w:t>等展示材料内容齐全、页面整洁、图标清晰、公式准确。</w:t>
      </w:r>
    </w:p>
    <w:p w14:paraId="4F3C6B4A">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2.优选要求</w:t>
      </w:r>
    </w:p>
    <w:p w14:paraId="5BECC96D">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（1）</w:t>
      </w:r>
      <w:r>
        <w:rPr>
          <w:rFonts w:hint="eastAsia" w:eastAsia="仿宋_GB2312" w:cs="仿宋_GB2312"/>
          <w:sz w:val="32"/>
          <w:szCs w:val="32"/>
          <w:lang w:val="en-US"/>
        </w:rPr>
        <w:t>设计方案够</w:t>
      </w:r>
      <w:r>
        <w:rPr>
          <w:rFonts w:eastAsia="仿宋_GB2312" w:cs="仿宋_GB2312"/>
          <w:sz w:val="32"/>
          <w:szCs w:val="32"/>
          <w:lang w:val="en-US"/>
        </w:rPr>
        <w:t>满足</w:t>
      </w:r>
      <w:r>
        <w:rPr>
          <w:rFonts w:hint="eastAsia" w:eastAsia="仿宋_GB2312" w:cs="仿宋_GB2312"/>
          <w:sz w:val="32"/>
          <w:szCs w:val="32"/>
          <w:lang w:val="en-US"/>
        </w:rPr>
        <w:t>相关</w:t>
      </w:r>
      <w:r>
        <w:rPr>
          <w:rFonts w:eastAsia="仿宋_GB2312" w:cs="仿宋_GB2312"/>
          <w:sz w:val="32"/>
          <w:szCs w:val="32"/>
          <w:lang w:val="en-US"/>
        </w:rPr>
        <w:t>性能指标</w:t>
      </w:r>
      <w:r>
        <w:rPr>
          <w:rFonts w:hint="eastAsia" w:eastAsia="仿宋_GB2312" w:cs="仿宋_GB2312"/>
          <w:sz w:val="32"/>
          <w:szCs w:val="32"/>
          <w:lang w:val="en-US"/>
        </w:rPr>
        <w:t>，详见附件2作品评分标准</w:t>
      </w:r>
      <w:r>
        <w:rPr>
          <w:rFonts w:eastAsia="仿宋_GB2312" w:cs="仿宋_GB2312"/>
          <w:sz w:val="32"/>
          <w:szCs w:val="32"/>
          <w:lang w:val="en-US"/>
        </w:rPr>
        <w:t>；</w:t>
      </w:r>
    </w:p>
    <w:p w14:paraId="25F848BF">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（2）设计方案清晰，</w:t>
      </w:r>
      <w:r>
        <w:rPr>
          <w:rFonts w:hint="eastAsia" w:eastAsia="仿宋_GB2312" w:cs="仿宋_GB2312"/>
          <w:sz w:val="32"/>
          <w:szCs w:val="32"/>
          <w:lang w:val="en-US"/>
        </w:rPr>
        <w:t>技术路线可行</w:t>
      </w:r>
      <w:r>
        <w:rPr>
          <w:rFonts w:eastAsia="仿宋_GB2312" w:cs="仿宋_GB2312"/>
          <w:sz w:val="32"/>
          <w:szCs w:val="32"/>
          <w:lang w:val="en-US"/>
        </w:rPr>
        <w:t>，可拓展性强；</w:t>
      </w:r>
    </w:p>
    <w:p w14:paraId="410B7B50">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（3）</w:t>
      </w:r>
      <w:r>
        <w:rPr>
          <w:rFonts w:eastAsia="仿宋_GB2312" w:cs="仿宋_GB2312"/>
          <w:sz w:val="32"/>
          <w:szCs w:val="32"/>
          <w:lang w:val="en-US"/>
        </w:rPr>
        <w:t>研究成果有望投入</w:t>
      </w:r>
      <w:r>
        <w:rPr>
          <w:rFonts w:hint="eastAsia" w:eastAsia="仿宋_GB2312" w:cs="仿宋_GB2312"/>
          <w:sz w:val="32"/>
          <w:szCs w:val="32"/>
          <w:lang w:val="en-US"/>
        </w:rPr>
        <w:t>工程</w:t>
      </w:r>
      <w:r>
        <w:rPr>
          <w:rFonts w:eastAsia="仿宋_GB2312" w:cs="仿宋_GB2312"/>
          <w:sz w:val="32"/>
          <w:szCs w:val="32"/>
          <w:lang w:val="en-US"/>
        </w:rPr>
        <w:t>应用。</w:t>
      </w:r>
    </w:p>
    <w:p w14:paraId="7086812E">
      <w:pPr>
        <w:pStyle w:val="3"/>
        <w:numPr>
          <w:ilvl w:val="0"/>
          <w:numId w:val="0"/>
        </w:numPr>
        <w:tabs>
          <w:tab w:val="center" w:pos="4366"/>
        </w:tabs>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七、作品提交及评审安排</w:t>
      </w:r>
      <w:r>
        <w:rPr>
          <w:rFonts w:hint="eastAsia" w:ascii="Times New Roman" w:hAnsi="Times New Roman" w:eastAsia="黑体" w:cs="黑体"/>
          <w:color w:val="000000" w:themeColor="text1"/>
          <w:lang w:val="en-US"/>
          <w14:textFill>
            <w14:solidFill>
              <w14:schemeClr w14:val="tx1"/>
            </w14:solidFill>
          </w14:textFill>
        </w:rPr>
        <w:tab/>
      </w:r>
    </w:p>
    <w:p w14:paraId="25828C9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1C58DC2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3"/>
          <w:rFonts w:eastAsia="仿宋_GB2312" w:cs="仿宋_GB2312"/>
          <w:sz w:val="32"/>
          <w:szCs w:val="32"/>
          <w:lang w:val="en-US"/>
        </w:rPr>
        <w:t>wutxskx@163.com。</w:t>
      </w:r>
      <w:r>
        <w:rPr>
          <w:rStyle w:val="13"/>
          <w:rFonts w:eastAsia="仿宋_GB2312" w:cs="仿宋_GB2312"/>
          <w:sz w:val="32"/>
          <w:szCs w:val="32"/>
          <w:lang w:val="en-US"/>
        </w:rPr>
        <w:fldChar w:fldCharType="end"/>
      </w:r>
    </w:p>
    <w:p w14:paraId="0D217396">
      <w:pPr>
        <w:spacing w:line="560" w:lineRule="exact"/>
        <w:ind w:firstLine="640" w:firstLineChars="200"/>
        <w:jc w:val="both"/>
        <w:rPr>
          <w:rFonts w:hint="eastAsia" w:ascii="方正仿宋_GBK" w:hAnsi="方正仿宋_GBK" w:eastAsia="方正仿宋_GBK" w:cs="方正仿宋_GBK"/>
          <w:color w:val="000000" w:themeColor="text1"/>
          <w:sz w:val="32"/>
          <w:szCs w:val="32"/>
          <w:lang w:val="en-US"/>
          <w14:textFill>
            <w14:solidFill>
              <w14:schemeClr w14:val="tx1"/>
            </w14:solidFill>
          </w14:textFill>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w:t>
      </w:r>
      <w:bookmarkStart w:id="0" w:name="_GoBack"/>
      <w:bookmarkEnd w:id="0"/>
      <w:r>
        <w:rPr>
          <w:rFonts w:eastAsia="仿宋_GB2312" w:cs="仿宋_GB2312"/>
          <w:sz w:val="32"/>
          <w:szCs w:val="32"/>
          <w:lang w:val="en-US"/>
        </w:rPr>
        <w:t>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p>
    <w:sectPr>
      <w:footerReference r:id="rId3" w:type="default"/>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D14AAF5-746F-484C-A289-E692C75DC7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86"/>
    <w:family w:val="script"/>
    <w:pitch w:val="default"/>
    <w:sig w:usb0="00000000" w:usb1="00000000" w:usb2="00082016" w:usb3="00000000" w:csb0="00040001" w:csb1="00000000"/>
  </w:font>
  <w:font w:name="方正黑体简体">
    <w:altName w:val="微软雅黑"/>
    <w:panose1 w:val="00000000000000000000"/>
    <w:charset w:val="86"/>
    <w:family w:val="script"/>
    <w:pitch w:val="default"/>
    <w:sig w:usb0="00000000" w:usb1="00000000" w:usb2="00000012" w:usb3="00000000" w:csb0="00040001"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楷体_GB2312"/>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2" w:fontKey="{839B97C2-ECAC-4286-838A-26D90EB8D920}"/>
  </w:font>
  <w:font w:name="方正小标宋简体">
    <w:panose1 w:val="03000509000000000000"/>
    <w:charset w:val="86"/>
    <w:family w:val="auto"/>
    <w:pitch w:val="default"/>
    <w:sig w:usb0="00000001" w:usb1="080E0000" w:usb2="00000000" w:usb3="00000000" w:csb0="00040000" w:csb1="00000000"/>
    <w:embedRegular r:id="rId3" w:fontKey="{201BDD55-B4BC-4784-9D63-900468C53585}"/>
  </w:font>
  <w:font w:name="楷体_GB2312">
    <w:panose1 w:val="02010609030101010101"/>
    <w:charset w:val="86"/>
    <w:family w:val="modern"/>
    <w:pitch w:val="default"/>
    <w:sig w:usb0="00000001" w:usb1="080E0000" w:usb2="00000000" w:usb3="00000000" w:csb0="00040000" w:csb1="00000000"/>
    <w:embedRegular r:id="rId4" w:fontKey="{5B2141AB-018F-4C1B-8D18-884F6F497F39}"/>
  </w:font>
  <w:font w:name="方正仿宋_GBK">
    <w:altName w:val="微软雅黑"/>
    <w:panose1 w:val="00000000000000000000"/>
    <w:charset w:val="86"/>
    <w:family w:val="script"/>
    <w:pitch w:val="default"/>
    <w:sig w:usb0="00000000" w:usb1="00000000" w:usb2="00082016" w:usb3="00000000" w:csb0="00040001" w:csb1="00000000"/>
    <w:embedRegular r:id="rId5" w:fontKey="{AC2D96E0-3B9B-43E2-89F2-EBC8C50A0496}"/>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13EE8">
    <w:pPr>
      <w:pStyle w:val="5"/>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821885">
                          <w:pPr>
                            <w:pStyle w:val="5"/>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9821885">
                    <w:pPr>
                      <w:pStyle w:val="5"/>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1D2CD3"/>
    <w:multiLevelType w:val="singleLevel"/>
    <w:tmpl w:val="EF1D2CD3"/>
    <w:lvl w:ilvl="0" w:tentative="0">
      <w:start w:val="1"/>
      <w:numFmt w:val="chineseCounting"/>
      <w:pStyle w:val="3"/>
      <w:suff w:val="nothing"/>
      <w:lvlText w:val="%1、"/>
      <w:lvlJc w:val="left"/>
      <w:pPr>
        <w:ind w:left="147" w:firstLine="420"/>
      </w:pPr>
      <w:rPr>
        <w:rFonts w:hint="eastAsia" w:ascii="方正黑体_GBK" w:hAnsi="方正黑体_GBK" w:eastAsia="方正黑体_GBK" w:cs="方正黑体_GBK"/>
        <w:b w:val="0"/>
        <w:bCs w:val="0"/>
        <w:sz w:val="32"/>
        <w:szCs w:val="32"/>
      </w:rPr>
    </w:lvl>
  </w:abstractNum>
  <w:abstractNum w:abstractNumId="1">
    <w:nsid w:val="52994999"/>
    <w:multiLevelType w:val="singleLevel"/>
    <w:tmpl w:val="52994999"/>
    <w:lvl w:ilvl="0" w:tentative="0">
      <w:start w:val="1"/>
      <w:numFmt w:val="decimal"/>
      <w:pStyle w:val="4"/>
      <w:suff w:val="space"/>
      <w:lvlText w:val="%1."/>
      <w:lvlJc w:val="left"/>
      <w:pPr>
        <w:ind w:left="534" w:hanging="454"/>
      </w:pPr>
      <w:rPr>
        <w:rFonts w:hint="default" w:ascii="Times New Roman" w:hAnsi="Times New Roman" w:eastAsia="方正仿宋楷体" w:cs="Times New Roman"/>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7E5B"/>
    <w:rsid w:val="00021C1D"/>
    <w:rsid w:val="00057714"/>
    <w:rsid w:val="000626B0"/>
    <w:rsid w:val="00064968"/>
    <w:rsid w:val="00075C5A"/>
    <w:rsid w:val="000A6775"/>
    <w:rsid w:val="000D57EF"/>
    <w:rsid w:val="0010211D"/>
    <w:rsid w:val="0011069F"/>
    <w:rsid w:val="00111E5D"/>
    <w:rsid w:val="00120156"/>
    <w:rsid w:val="001367A9"/>
    <w:rsid w:val="00143054"/>
    <w:rsid w:val="001579F2"/>
    <w:rsid w:val="00164C26"/>
    <w:rsid w:val="0016564C"/>
    <w:rsid w:val="001B0D74"/>
    <w:rsid w:val="001B2C6C"/>
    <w:rsid w:val="001C0DFA"/>
    <w:rsid w:val="001D0729"/>
    <w:rsid w:val="001E760D"/>
    <w:rsid w:val="001E77C2"/>
    <w:rsid w:val="001F6CC8"/>
    <w:rsid w:val="0020086A"/>
    <w:rsid w:val="00205E3B"/>
    <w:rsid w:val="002208CF"/>
    <w:rsid w:val="00236E3E"/>
    <w:rsid w:val="002560B0"/>
    <w:rsid w:val="00281AE9"/>
    <w:rsid w:val="00283877"/>
    <w:rsid w:val="002938E3"/>
    <w:rsid w:val="002B0D40"/>
    <w:rsid w:val="002B6DDC"/>
    <w:rsid w:val="002E7BFD"/>
    <w:rsid w:val="002F7D9C"/>
    <w:rsid w:val="00341051"/>
    <w:rsid w:val="00351403"/>
    <w:rsid w:val="00354FAF"/>
    <w:rsid w:val="00363E2D"/>
    <w:rsid w:val="00371816"/>
    <w:rsid w:val="00392185"/>
    <w:rsid w:val="0039481F"/>
    <w:rsid w:val="003B6C68"/>
    <w:rsid w:val="003B786C"/>
    <w:rsid w:val="003E007F"/>
    <w:rsid w:val="003E2852"/>
    <w:rsid w:val="00403615"/>
    <w:rsid w:val="00405B32"/>
    <w:rsid w:val="00407F26"/>
    <w:rsid w:val="0041464C"/>
    <w:rsid w:val="0044592C"/>
    <w:rsid w:val="00463782"/>
    <w:rsid w:val="00471974"/>
    <w:rsid w:val="00476A7D"/>
    <w:rsid w:val="00483410"/>
    <w:rsid w:val="004876C3"/>
    <w:rsid w:val="00494F44"/>
    <w:rsid w:val="00496D3E"/>
    <w:rsid w:val="004A0A91"/>
    <w:rsid w:val="004B00B4"/>
    <w:rsid w:val="004B01E5"/>
    <w:rsid w:val="004B6FF1"/>
    <w:rsid w:val="004D0FC5"/>
    <w:rsid w:val="004F30AF"/>
    <w:rsid w:val="004F3DC9"/>
    <w:rsid w:val="00517736"/>
    <w:rsid w:val="00532B4E"/>
    <w:rsid w:val="005333BA"/>
    <w:rsid w:val="00537F15"/>
    <w:rsid w:val="00553DCC"/>
    <w:rsid w:val="00554C5C"/>
    <w:rsid w:val="005753FB"/>
    <w:rsid w:val="00577641"/>
    <w:rsid w:val="00580524"/>
    <w:rsid w:val="00585CAC"/>
    <w:rsid w:val="005944CA"/>
    <w:rsid w:val="005A1799"/>
    <w:rsid w:val="005A5BBF"/>
    <w:rsid w:val="005C1AAC"/>
    <w:rsid w:val="005D33E1"/>
    <w:rsid w:val="005E0F11"/>
    <w:rsid w:val="00603AF5"/>
    <w:rsid w:val="006047E7"/>
    <w:rsid w:val="00606DA8"/>
    <w:rsid w:val="00613673"/>
    <w:rsid w:val="00613AAA"/>
    <w:rsid w:val="006226BA"/>
    <w:rsid w:val="00633F6B"/>
    <w:rsid w:val="00636F96"/>
    <w:rsid w:val="00663468"/>
    <w:rsid w:val="0066573D"/>
    <w:rsid w:val="00677991"/>
    <w:rsid w:val="0068166A"/>
    <w:rsid w:val="006A3A6E"/>
    <w:rsid w:val="006A51DF"/>
    <w:rsid w:val="006C3959"/>
    <w:rsid w:val="006C732F"/>
    <w:rsid w:val="006E6DDA"/>
    <w:rsid w:val="007216F0"/>
    <w:rsid w:val="0073249A"/>
    <w:rsid w:val="00746651"/>
    <w:rsid w:val="00765C33"/>
    <w:rsid w:val="00777C79"/>
    <w:rsid w:val="007879EC"/>
    <w:rsid w:val="007F195A"/>
    <w:rsid w:val="00805D49"/>
    <w:rsid w:val="00816F55"/>
    <w:rsid w:val="00825FD8"/>
    <w:rsid w:val="008313DD"/>
    <w:rsid w:val="008321B0"/>
    <w:rsid w:val="00851D22"/>
    <w:rsid w:val="00860FD3"/>
    <w:rsid w:val="008669B5"/>
    <w:rsid w:val="00867EEA"/>
    <w:rsid w:val="00872C0C"/>
    <w:rsid w:val="008769EE"/>
    <w:rsid w:val="0088143A"/>
    <w:rsid w:val="008836AC"/>
    <w:rsid w:val="00887D7E"/>
    <w:rsid w:val="0089086B"/>
    <w:rsid w:val="008B43EC"/>
    <w:rsid w:val="008C4B94"/>
    <w:rsid w:val="008E3EE3"/>
    <w:rsid w:val="008F2FB1"/>
    <w:rsid w:val="00912ADC"/>
    <w:rsid w:val="00917F07"/>
    <w:rsid w:val="00923192"/>
    <w:rsid w:val="00931DCA"/>
    <w:rsid w:val="0093518D"/>
    <w:rsid w:val="00937CB6"/>
    <w:rsid w:val="00953BA4"/>
    <w:rsid w:val="00954857"/>
    <w:rsid w:val="009632E8"/>
    <w:rsid w:val="00966187"/>
    <w:rsid w:val="00987542"/>
    <w:rsid w:val="00995541"/>
    <w:rsid w:val="00996802"/>
    <w:rsid w:val="009A5F81"/>
    <w:rsid w:val="009F7616"/>
    <w:rsid w:val="00A0235C"/>
    <w:rsid w:val="00A22759"/>
    <w:rsid w:val="00A30D68"/>
    <w:rsid w:val="00A31A98"/>
    <w:rsid w:val="00A4232F"/>
    <w:rsid w:val="00A43480"/>
    <w:rsid w:val="00A460CE"/>
    <w:rsid w:val="00AA7BD8"/>
    <w:rsid w:val="00AB1BF4"/>
    <w:rsid w:val="00AD025A"/>
    <w:rsid w:val="00AD24CF"/>
    <w:rsid w:val="00AD6CFA"/>
    <w:rsid w:val="00AE66B7"/>
    <w:rsid w:val="00B0258C"/>
    <w:rsid w:val="00B32E7F"/>
    <w:rsid w:val="00B40CAF"/>
    <w:rsid w:val="00B52CCC"/>
    <w:rsid w:val="00B70A95"/>
    <w:rsid w:val="00B80EC7"/>
    <w:rsid w:val="00BA70BA"/>
    <w:rsid w:val="00BC1B59"/>
    <w:rsid w:val="00BE634B"/>
    <w:rsid w:val="00BF4E2D"/>
    <w:rsid w:val="00C217F1"/>
    <w:rsid w:val="00C24C93"/>
    <w:rsid w:val="00C60328"/>
    <w:rsid w:val="00C678B8"/>
    <w:rsid w:val="00C81301"/>
    <w:rsid w:val="00C82B11"/>
    <w:rsid w:val="00C90F03"/>
    <w:rsid w:val="00C97BA0"/>
    <w:rsid w:val="00CB5FAC"/>
    <w:rsid w:val="00D05DE3"/>
    <w:rsid w:val="00D474E2"/>
    <w:rsid w:val="00D531BB"/>
    <w:rsid w:val="00D55D40"/>
    <w:rsid w:val="00D64A7B"/>
    <w:rsid w:val="00D71164"/>
    <w:rsid w:val="00D755E0"/>
    <w:rsid w:val="00D8092B"/>
    <w:rsid w:val="00D826F5"/>
    <w:rsid w:val="00D905C1"/>
    <w:rsid w:val="00DA4A6A"/>
    <w:rsid w:val="00DB02D9"/>
    <w:rsid w:val="00DB59F1"/>
    <w:rsid w:val="00DE6299"/>
    <w:rsid w:val="00DF09AA"/>
    <w:rsid w:val="00DF64DF"/>
    <w:rsid w:val="00DF78E0"/>
    <w:rsid w:val="00E01DD4"/>
    <w:rsid w:val="00E02303"/>
    <w:rsid w:val="00E05639"/>
    <w:rsid w:val="00E067C4"/>
    <w:rsid w:val="00E13134"/>
    <w:rsid w:val="00E30024"/>
    <w:rsid w:val="00E30CB8"/>
    <w:rsid w:val="00E46C70"/>
    <w:rsid w:val="00E47733"/>
    <w:rsid w:val="00E5011B"/>
    <w:rsid w:val="00E524CD"/>
    <w:rsid w:val="00E65FC6"/>
    <w:rsid w:val="00E72C07"/>
    <w:rsid w:val="00E909FD"/>
    <w:rsid w:val="00EA0B44"/>
    <w:rsid w:val="00EA697C"/>
    <w:rsid w:val="00EB1E9B"/>
    <w:rsid w:val="00EB2BDB"/>
    <w:rsid w:val="00EB4B20"/>
    <w:rsid w:val="00EF3C50"/>
    <w:rsid w:val="00F1317D"/>
    <w:rsid w:val="00F256C4"/>
    <w:rsid w:val="00F26931"/>
    <w:rsid w:val="00F57CAE"/>
    <w:rsid w:val="00F70F5B"/>
    <w:rsid w:val="00F74A1C"/>
    <w:rsid w:val="00F75202"/>
    <w:rsid w:val="00F910DA"/>
    <w:rsid w:val="00FA1D99"/>
    <w:rsid w:val="00FF5C3F"/>
    <w:rsid w:val="011D4668"/>
    <w:rsid w:val="01705063"/>
    <w:rsid w:val="01AD4814"/>
    <w:rsid w:val="01D25B00"/>
    <w:rsid w:val="01D51F5B"/>
    <w:rsid w:val="02481270"/>
    <w:rsid w:val="029E34F5"/>
    <w:rsid w:val="03294FF9"/>
    <w:rsid w:val="03803D68"/>
    <w:rsid w:val="03910A32"/>
    <w:rsid w:val="03FE7196"/>
    <w:rsid w:val="040E5D41"/>
    <w:rsid w:val="043549F2"/>
    <w:rsid w:val="04816A57"/>
    <w:rsid w:val="04853FBB"/>
    <w:rsid w:val="051528EC"/>
    <w:rsid w:val="05185E54"/>
    <w:rsid w:val="05776D66"/>
    <w:rsid w:val="059B6CBC"/>
    <w:rsid w:val="05C978FD"/>
    <w:rsid w:val="05E31242"/>
    <w:rsid w:val="0671705A"/>
    <w:rsid w:val="06732134"/>
    <w:rsid w:val="068B011B"/>
    <w:rsid w:val="06F55DEF"/>
    <w:rsid w:val="07463F1D"/>
    <w:rsid w:val="074D6917"/>
    <w:rsid w:val="078F2493"/>
    <w:rsid w:val="07901CC5"/>
    <w:rsid w:val="0795514D"/>
    <w:rsid w:val="07BA6D83"/>
    <w:rsid w:val="0840076F"/>
    <w:rsid w:val="08601D96"/>
    <w:rsid w:val="08C25676"/>
    <w:rsid w:val="09644BDE"/>
    <w:rsid w:val="09AA3609"/>
    <w:rsid w:val="09E10052"/>
    <w:rsid w:val="0A260073"/>
    <w:rsid w:val="0A8F7AAE"/>
    <w:rsid w:val="0AD671E5"/>
    <w:rsid w:val="0B2B6586"/>
    <w:rsid w:val="0B4A5469"/>
    <w:rsid w:val="0B6B3F04"/>
    <w:rsid w:val="0B6F69F0"/>
    <w:rsid w:val="0B731858"/>
    <w:rsid w:val="0B8F177D"/>
    <w:rsid w:val="0C645CC6"/>
    <w:rsid w:val="0C955B7E"/>
    <w:rsid w:val="0CAD1E5B"/>
    <w:rsid w:val="0D09135F"/>
    <w:rsid w:val="0D4764C0"/>
    <w:rsid w:val="0D7E4529"/>
    <w:rsid w:val="0DA54A80"/>
    <w:rsid w:val="0DCF4D92"/>
    <w:rsid w:val="0EC86244"/>
    <w:rsid w:val="0EDC0AFF"/>
    <w:rsid w:val="0EF0331F"/>
    <w:rsid w:val="0F78357E"/>
    <w:rsid w:val="0FA66A75"/>
    <w:rsid w:val="0FB12E15"/>
    <w:rsid w:val="106C4753"/>
    <w:rsid w:val="10772CDB"/>
    <w:rsid w:val="107A0F05"/>
    <w:rsid w:val="107F47F9"/>
    <w:rsid w:val="10DB3A4D"/>
    <w:rsid w:val="10EF560E"/>
    <w:rsid w:val="112E152D"/>
    <w:rsid w:val="113D4D7B"/>
    <w:rsid w:val="11672B32"/>
    <w:rsid w:val="1178767D"/>
    <w:rsid w:val="11AD4CBD"/>
    <w:rsid w:val="11D96D62"/>
    <w:rsid w:val="120851FE"/>
    <w:rsid w:val="12415B32"/>
    <w:rsid w:val="12647A72"/>
    <w:rsid w:val="12A47462"/>
    <w:rsid w:val="12AB1133"/>
    <w:rsid w:val="12E36BE9"/>
    <w:rsid w:val="13221EE1"/>
    <w:rsid w:val="138059EE"/>
    <w:rsid w:val="138E2FF9"/>
    <w:rsid w:val="13CA2B4E"/>
    <w:rsid w:val="13EE5957"/>
    <w:rsid w:val="13FA68E0"/>
    <w:rsid w:val="14294F3F"/>
    <w:rsid w:val="145A1BF7"/>
    <w:rsid w:val="14851B79"/>
    <w:rsid w:val="14E87B97"/>
    <w:rsid w:val="15AA5E96"/>
    <w:rsid w:val="15D942D4"/>
    <w:rsid w:val="16217D15"/>
    <w:rsid w:val="162866A2"/>
    <w:rsid w:val="167224E4"/>
    <w:rsid w:val="16921FAF"/>
    <w:rsid w:val="177B78C5"/>
    <w:rsid w:val="178A41E0"/>
    <w:rsid w:val="17E2511D"/>
    <w:rsid w:val="1800389F"/>
    <w:rsid w:val="1804590C"/>
    <w:rsid w:val="181F20AD"/>
    <w:rsid w:val="184414B7"/>
    <w:rsid w:val="189B4472"/>
    <w:rsid w:val="18AC2492"/>
    <w:rsid w:val="18F60835"/>
    <w:rsid w:val="19300544"/>
    <w:rsid w:val="19492385"/>
    <w:rsid w:val="19883A90"/>
    <w:rsid w:val="1A1553DD"/>
    <w:rsid w:val="1A1667EC"/>
    <w:rsid w:val="1AD27C6F"/>
    <w:rsid w:val="1B24668A"/>
    <w:rsid w:val="1BED1E2C"/>
    <w:rsid w:val="1C612DAD"/>
    <w:rsid w:val="1D2D60B2"/>
    <w:rsid w:val="1D3B0FE4"/>
    <w:rsid w:val="1D435FFF"/>
    <w:rsid w:val="1D540A00"/>
    <w:rsid w:val="1DA327A0"/>
    <w:rsid w:val="1DA67191"/>
    <w:rsid w:val="1DBC4027"/>
    <w:rsid w:val="1E504BF2"/>
    <w:rsid w:val="1EA907D1"/>
    <w:rsid w:val="1F066139"/>
    <w:rsid w:val="1F3C04FF"/>
    <w:rsid w:val="1F762BAF"/>
    <w:rsid w:val="20123648"/>
    <w:rsid w:val="20790DD9"/>
    <w:rsid w:val="208061D5"/>
    <w:rsid w:val="20C62C19"/>
    <w:rsid w:val="21B92844"/>
    <w:rsid w:val="21DA0F90"/>
    <w:rsid w:val="21FD6C01"/>
    <w:rsid w:val="22463DDE"/>
    <w:rsid w:val="227E692E"/>
    <w:rsid w:val="22881F58"/>
    <w:rsid w:val="22E55DA3"/>
    <w:rsid w:val="231F12DE"/>
    <w:rsid w:val="23531B69"/>
    <w:rsid w:val="23835AF5"/>
    <w:rsid w:val="23991047"/>
    <w:rsid w:val="23B107E7"/>
    <w:rsid w:val="23B92B80"/>
    <w:rsid w:val="23B940CE"/>
    <w:rsid w:val="23D22A8E"/>
    <w:rsid w:val="242F1397"/>
    <w:rsid w:val="25324A72"/>
    <w:rsid w:val="254C6200"/>
    <w:rsid w:val="2604714B"/>
    <w:rsid w:val="261A4BC0"/>
    <w:rsid w:val="26680B0E"/>
    <w:rsid w:val="276607BD"/>
    <w:rsid w:val="27707807"/>
    <w:rsid w:val="277E3A4E"/>
    <w:rsid w:val="2822512B"/>
    <w:rsid w:val="289724F8"/>
    <w:rsid w:val="29095901"/>
    <w:rsid w:val="290F58EC"/>
    <w:rsid w:val="29712213"/>
    <w:rsid w:val="2A641BAA"/>
    <w:rsid w:val="2A85768A"/>
    <w:rsid w:val="2A95250A"/>
    <w:rsid w:val="2B0E3A48"/>
    <w:rsid w:val="2B2B347E"/>
    <w:rsid w:val="2B5841C1"/>
    <w:rsid w:val="2B9C2019"/>
    <w:rsid w:val="2BC2788C"/>
    <w:rsid w:val="2BE61BF3"/>
    <w:rsid w:val="2BE63207"/>
    <w:rsid w:val="2BED05B2"/>
    <w:rsid w:val="2C112589"/>
    <w:rsid w:val="2C1B5B53"/>
    <w:rsid w:val="2CD92454"/>
    <w:rsid w:val="2D5072C9"/>
    <w:rsid w:val="2D9737AA"/>
    <w:rsid w:val="2E44738D"/>
    <w:rsid w:val="2E483CF0"/>
    <w:rsid w:val="2EAE282B"/>
    <w:rsid w:val="2ED43E1F"/>
    <w:rsid w:val="2EF61F5F"/>
    <w:rsid w:val="2F185D6A"/>
    <w:rsid w:val="2F204D2F"/>
    <w:rsid w:val="2F213D0C"/>
    <w:rsid w:val="2F6B6D60"/>
    <w:rsid w:val="2FCD7BF6"/>
    <w:rsid w:val="30280776"/>
    <w:rsid w:val="30D8752B"/>
    <w:rsid w:val="31327933"/>
    <w:rsid w:val="314F7592"/>
    <w:rsid w:val="32047B94"/>
    <w:rsid w:val="32886AF3"/>
    <w:rsid w:val="32EF5010"/>
    <w:rsid w:val="33020A40"/>
    <w:rsid w:val="33047391"/>
    <w:rsid w:val="333332D8"/>
    <w:rsid w:val="333C43C8"/>
    <w:rsid w:val="338737FF"/>
    <w:rsid w:val="347270AC"/>
    <w:rsid w:val="34A400A9"/>
    <w:rsid w:val="350D59DC"/>
    <w:rsid w:val="351116A8"/>
    <w:rsid w:val="359C73A0"/>
    <w:rsid w:val="35B30F60"/>
    <w:rsid w:val="35F73B2D"/>
    <w:rsid w:val="36160F00"/>
    <w:rsid w:val="36A171E4"/>
    <w:rsid w:val="375B41E8"/>
    <w:rsid w:val="37983B5D"/>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A8E0CFB"/>
    <w:rsid w:val="3B3347D5"/>
    <w:rsid w:val="3BC02155"/>
    <w:rsid w:val="3BF7E6BF"/>
    <w:rsid w:val="3C28581E"/>
    <w:rsid w:val="3C4538F8"/>
    <w:rsid w:val="3C7404EE"/>
    <w:rsid w:val="3CA2297F"/>
    <w:rsid w:val="3CD975B2"/>
    <w:rsid w:val="3CDB69FF"/>
    <w:rsid w:val="3CE6360A"/>
    <w:rsid w:val="3CFC1E0B"/>
    <w:rsid w:val="3CFF1E29"/>
    <w:rsid w:val="3D001C4A"/>
    <w:rsid w:val="3D034B1E"/>
    <w:rsid w:val="3D7D1865"/>
    <w:rsid w:val="3ED27DBD"/>
    <w:rsid w:val="3F0C0676"/>
    <w:rsid w:val="3F141141"/>
    <w:rsid w:val="3F5A3C2F"/>
    <w:rsid w:val="3F724603"/>
    <w:rsid w:val="3FC76EA6"/>
    <w:rsid w:val="3FFF2E8B"/>
    <w:rsid w:val="40244897"/>
    <w:rsid w:val="40504E9C"/>
    <w:rsid w:val="4090448B"/>
    <w:rsid w:val="4185378C"/>
    <w:rsid w:val="431E490D"/>
    <w:rsid w:val="4384772F"/>
    <w:rsid w:val="43850177"/>
    <w:rsid w:val="43865400"/>
    <w:rsid w:val="44362561"/>
    <w:rsid w:val="443B2D53"/>
    <w:rsid w:val="445341F2"/>
    <w:rsid w:val="44834750"/>
    <w:rsid w:val="448B2AB9"/>
    <w:rsid w:val="44DB2ACE"/>
    <w:rsid w:val="458849D3"/>
    <w:rsid w:val="45A06791"/>
    <w:rsid w:val="45B1292D"/>
    <w:rsid w:val="45BF74A8"/>
    <w:rsid w:val="45CD38CF"/>
    <w:rsid w:val="462E307C"/>
    <w:rsid w:val="464072B5"/>
    <w:rsid w:val="464D21B7"/>
    <w:rsid w:val="46CA635B"/>
    <w:rsid w:val="4710745D"/>
    <w:rsid w:val="47FC60B2"/>
    <w:rsid w:val="489A6F14"/>
    <w:rsid w:val="48D02EA7"/>
    <w:rsid w:val="48D811CF"/>
    <w:rsid w:val="494B597C"/>
    <w:rsid w:val="498072FA"/>
    <w:rsid w:val="49962324"/>
    <w:rsid w:val="49ED0155"/>
    <w:rsid w:val="4A5D3697"/>
    <w:rsid w:val="4AFC6247"/>
    <w:rsid w:val="4B704D15"/>
    <w:rsid w:val="4B8F5D2D"/>
    <w:rsid w:val="4B9A22C6"/>
    <w:rsid w:val="4C0C0983"/>
    <w:rsid w:val="4C2E0DCB"/>
    <w:rsid w:val="4C641BFC"/>
    <w:rsid w:val="4C726569"/>
    <w:rsid w:val="4CB37C08"/>
    <w:rsid w:val="4CC874F6"/>
    <w:rsid w:val="4CD60537"/>
    <w:rsid w:val="4CDB1144"/>
    <w:rsid w:val="4D016300"/>
    <w:rsid w:val="4D47054C"/>
    <w:rsid w:val="4D516231"/>
    <w:rsid w:val="4D6E4265"/>
    <w:rsid w:val="4D7E702B"/>
    <w:rsid w:val="4D94083B"/>
    <w:rsid w:val="4E3C35CB"/>
    <w:rsid w:val="4E4F369A"/>
    <w:rsid w:val="4E6A7538"/>
    <w:rsid w:val="4ED669B0"/>
    <w:rsid w:val="4EDA6221"/>
    <w:rsid w:val="4F2E243F"/>
    <w:rsid w:val="4FDF2564"/>
    <w:rsid w:val="501523A2"/>
    <w:rsid w:val="504174FC"/>
    <w:rsid w:val="50571C9F"/>
    <w:rsid w:val="50AB003F"/>
    <w:rsid w:val="50CF4503"/>
    <w:rsid w:val="50D37C15"/>
    <w:rsid w:val="511D019F"/>
    <w:rsid w:val="511D18C9"/>
    <w:rsid w:val="51321D01"/>
    <w:rsid w:val="51542C8D"/>
    <w:rsid w:val="516234FD"/>
    <w:rsid w:val="51656886"/>
    <w:rsid w:val="516A1B63"/>
    <w:rsid w:val="51B81737"/>
    <w:rsid w:val="51D77030"/>
    <w:rsid w:val="52353A0A"/>
    <w:rsid w:val="52841EC8"/>
    <w:rsid w:val="52D85750"/>
    <w:rsid w:val="52FB18C6"/>
    <w:rsid w:val="531072F0"/>
    <w:rsid w:val="53213E80"/>
    <w:rsid w:val="53FE3E0A"/>
    <w:rsid w:val="543142CF"/>
    <w:rsid w:val="55286E22"/>
    <w:rsid w:val="556E6581"/>
    <w:rsid w:val="5588677D"/>
    <w:rsid w:val="560317C0"/>
    <w:rsid w:val="560E14B9"/>
    <w:rsid w:val="561F720E"/>
    <w:rsid w:val="566F4A58"/>
    <w:rsid w:val="5712150D"/>
    <w:rsid w:val="57A3633F"/>
    <w:rsid w:val="57A7201B"/>
    <w:rsid w:val="57B27F05"/>
    <w:rsid w:val="57CF58DB"/>
    <w:rsid w:val="57DC33A7"/>
    <w:rsid w:val="58215343"/>
    <w:rsid w:val="584F10D8"/>
    <w:rsid w:val="5854171D"/>
    <w:rsid w:val="587561D1"/>
    <w:rsid w:val="588C3E2C"/>
    <w:rsid w:val="58D01EBB"/>
    <w:rsid w:val="58F61D44"/>
    <w:rsid w:val="5931428A"/>
    <w:rsid w:val="596B3D20"/>
    <w:rsid w:val="597D2244"/>
    <w:rsid w:val="597D27A7"/>
    <w:rsid w:val="59F3439B"/>
    <w:rsid w:val="5A0D30B4"/>
    <w:rsid w:val="5A2A3F59"/>
    <w:rsid w:val="5A2C59C0"/>
    <w:rsid w:val="5A483FF8"/>
    <w:rsid w:val="5AAB75B9"/>
    <w:rsid w:val="5B0C693A"/>
    <w:rsid w:val="5B1E3B4B"/>
    <w:rsid w:val="5B3429A4"/>
    <w:rsid w:val="5B7928AC"/>
    <w:rsid w:val="5B9C5C45"/>
    <w:rsid w:val="5C0C1983"/>
    <w:rsid w:val="5C146507"/>
    <w:rsid w:val="5C8556D4"/>
    <w:rsid w:val="5C9C6DF2"/>
    <w:rsid w:val="5C9D087A"/>
    <w:rsid w:val="5CA01278"/>
    <w:rsid w:val="5D1458EA"/>
    <w:rsid w:val="5D35760E"/>
    <w:rsid w:val="5D5840D6"/>
    <w:rsid w:val="5D8A2234"/>
    <w:rsid w:val="5DA37A9B"/>
    <w:rsid w:val="5DA42E7F"/>
    <w:rsid w:val="5DE96312"/>
    <w:rsid w:val="5E334000"/>
    <w:rsid w:val="5E69296F"/>
    <w:rsid w:val="5ED50225"/>
    <w:rsid w:val="5F1F0240"/>
    <w:rsid w:val="5F562BF3"/>
    <w:rsid w:val="603F5402"/>
    <w:rsid w:val="60603B12"/>
    <w:rsid w:val="60B0413F"/>
    <w:rsid w:val="60D818B2"/>
    <w:rsid w:val="614C422E"/>
    <w:rsid w:val="615A0A76"/>
    <w:rsid w:val="619135C2"/>
    <w:rsid w:val="621C7880"/>
    <w:rsid w:val="628A4E55"/>
    <w:rsid w:val="6295412E"/>
    <w:rsid w:val="62CC4571"/>
    <w:rsid w:val="62D04AAA"/>
    <w:rsid w:val="63381C06"/>
    <w:rsid w:val="64037383"/>
    <w:rsid w:val="64126E1E"/>
    <w:rsid w:val="642E2243"/>
    <w:rsid w:val="6469630A"/>
    <w:rsid w:val="648B4CC0"/>
    <w:rsid w:val="64A2179B"/>
    <w:rsid w:val="654B7F44"/>
    <w:rsid w:val="65F77B57"/>
    <w:rsid w:val="65FF3AA9"/>
    <w:rsid w:val="660031E4"/>
    <w:rsid w:val="660402E0"/>
    <w:rsid w:val="660F3D1F"/>
    <w:rsid w:val="66152ACA"/>
    <w:rsid w:val="663250C1"/>
    <w:rsid w:val="66BF5DFC"/>
    <w:rsid w:val="66EF5BAF"/>
    <w:rsid w:val="675A157F"/>
    <w:rsid w:val="677909F1"/>
    <w:rsid w:val="67F91D07"/>
    <w:rsid w:val="682A2347"/>
    <w:rsid w:val="683F44C5"/>
    <w:rsid w:val="68B44D24"/>
    <w:rsid w:val="696D41C4"/>
    <w:rsid w:val="69BF1317"/>
    <w:rsid w:val="69ED05F9"/>
    <w:rsid w:val="6B263ACF"/>
    <w:rsid w:val="6B73602A"/>
    <w:rsid w:val="6B8B6CF1"/>
    <w:rsid w:val="6BBF5037"/>
    <w:rsid w:val="6BDF6CC4"/>
    <w:rsid w:val="6C1660AA"/>
    <w:rsid w:val="6C234574"/>
    <w:rsid w:val="6C4142CA"/>
    <w:rsid w:val="6E231488"/>
    <w:rsid w:val="6E5F6E64"/>
    <w:rsid w:val="6E7E2016"/>
    <w:rsid w:val="6F0452B4"/>
    <w:rsid w:val="6F15711A"/>
    <w:rsid w:val="6F4C6B46"/>
    <w:rsid w:val="70905002"/>
    <w:rsid w:val="70BB7C71"/>
    <w:rsid w:val="70FB2873"/>
    <w:rsid w:val="717D0E42"/>
    <w:rsid w:val="719F75B5"/>
    <w:rsid w:val="71B2251C"/>
    <w:rsid w:val="71B400B8"/>
    <w:rsid w:val="71BF5D6D"/>
    <w:rsid w:val="72516F6C"/>
    <w:rsid w:val="72EF1566"/>
    <w:rsid w:val="733E5BE7"/>
    <w:rsid w:val="73412F53"/>
    <w:rsid w:val="73437FCE"/>
    <w:rsid w:val="73A22FC0"/>
    <w:rsid w:val="73B30FC6"/>
    <w:rsid w:val="74592D34"/>
    <w:rsid w:val="748443E4"/>
    <w:rsid w:val="74D77289"/>
    <w:rsid w:val="74F952E5"/>
    <w:rsid w:val="753F15A0"/>
    <w:rsid w:val="75483F2B"/>
    <w:rsid w:val="75A628C9"/>
    <w:rsid w:val="75B36462"/>
    <w:rsid w:val="76065B98"/>
    <w:rsid w:val="763F7413"/>
    <w:rsid w:val="765910AA"/>
    <w:rsid w:val="76861D4C"/>
    <w:rsid w:val="76B27622"/>
    <w:rsid w:val="7757137E"/>
    <w:rsid w:val="77740E18"/>
    <w:rsid w:val="780A371A"/>
    <w:rsid w:val="781101C0"/>
    <w:rsid w:val="7824373B"/>
    <w:rsid w:val="7831103D"/>
    <w:rsid w:val="784521A0"/>
    <w:rsid w:val="786755ED"/>
    <w:rsid w:val="788D1579"/>
    <w:rsid w:val="790525A1"/>
    <w:rsid w:val="79156F08"/>
    <w:rsid w:val="79220BB1"/>
    <w:rsid w:val="79936676"/>
    <w:rsid w:val="79A52F07"/>
    <w:rsid w:val="7A6F2A3A"/>
    <w:rsid w:val="7A8A0B42"/>
    <w:rsid w:val="7B541151"/>
    <w:rsid w:val="7B6A5B87"/>
    <w:rsid w:val="7B851976"/>
    <w:rsid w:val="7B9A12F6"/>
    <w:rsid w:val="7BBB15F0"/>
    <w:rsid w:val="7BD4353D"/>
    <w:rsid w:val="7BE772BD"/>
    <w:rsid w:val="7C07A0F5"/>
    <w:rsid w:val="7C0E057E"/>
    <w:rsid w:val="7C5311B3"/>
    <w:rsid w:val="7CDB7433"/>
    <w:rsid w:val="7D0F22FE"/>
    <w:rsid w:val="7D40323E"/>
    <w:rsid w:val="7D460711"/>
    <w:rsid w:val="7D717185"/>
    <w:rsid w:val="7D7635FF"/>
    <w:rsid w:val="7D8111E0"/>
    <w:rsid w:val="7DB10E50"/>
    <w:rsid w:val="7E172803"/>
    <w:rsid w:val="7EC02D84"/>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numPr>
        <w:ilvl w:val="0"/>
        <w:numId w:val="1"/>
      </w:numPr>
      <w:spacing w:line="560" w:lineRule="exact"/>
      <w:ind w:left="0" w:firstLine="880" w:firstLineChars="200"/>
      <w:outlineLvl w:val="1"/>
    </w:pPr>
    <w:rPr>
      <w:rFonts w:ascii="方正黑体简体" w:hAnsi="方正黑体简体" w:eastAsia="方正黑体简体"/>
      <w:sz w:val="32"/>
      <w:szCs w:val="22"/>
    </w:rPr>
  </w:style>
  <w:style w:type="paragraph" w:styleId="4">
    <w:name w:val="heading 3"/>
    <w:basedOn w:val="1"/>
    <w:next w:val="1"/>
    <w:link w:val="19"/>
    <w:autoRedefine/>
    <w:unhideWhenUsed/>
    <w:qFormat/>
    <w:uiPriority w:val="9"/>
    <w:pPr>
      <w:keepNext/>
      <w:keepLines/>
      <w:numPr>
        <w:ilvl w:val="0"/>
        <w:numId w:val="2"/>
      </w:numPr>
      <w:tabs>
        <w:tab w:val="left" w:pos="0"/>
      </w:tabs>
      <w:spacing w:line="560" w:lineRule="exact"/>
      <w:outlineLvl w:val="2"/>
    </w:pPr>
    <w:rPr>
      <w:rFonts w:ascii="方正楷体简体" w:hAnsi="方正楷体简体" w:eastAsia="方正楷体简体"/>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5"/>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6">
    <w:name w:val="header"/>
    <w:basedOn w:val="1"/>
    <w:link w:val="14"/>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7">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0">
    <w:name w:val="Strong"/>
    <w:autoRedefine/>
    <w:qFormat/>
    <w:uiPriority w:val="22"/>
    <w:rPr>
      <w:b/>
      <w:bCs/>
    </w:rPr>
  </w:style>
  <w:style w:type="character" w:styleId="11">
    <w:name w:val="FollowedHyperlink"/>
    <w:basedOn w:val="9"/>
    <w:autoRedefine/>
    <w:semiHidden/>
    <w:unhideWhenUsed/>
    <w:qFormat/>
    <w:uiPriority w:val="99"/>
    <w:rPr>
      <w:color w:val="954F72" w:themeColor="followedHyperlink"/>
      <w:u w:val="single"/>
      <w14:textFill>
        <w14:solidFill>
          <w14:schemeClr w14:val="folHlink"/>
        </w14:solidFill>
      </w14:textFill>
    </w:rPr>
  </w:style>
  <w:style w:type="character" w:styleId="12">
    <w:name w:val="Emphasis"/>
    <w:basedOn w:val="9"/>
    <w:autoRedefine/>
    <w:qFormat/>
    <w:uiPriority w:val="20"/>
    <w:rPr>
      <w:i/>
      <w:iCs/>
    </w:rPr>
  </w:style>
  <w:style w:type="character" w:styleId="13">
    <w:name w:val="Hyperlink"/>
    <w:basedOn w:val="9"/>
    <w:autoRedefine/>
    <w:unhideWhenUsed/>
    <w:qFormat/>
    <w:uiPriority w:val="99"/>
    <w:rPr>
      <w:color w:val="0563C1" w:themeColor="hyperlink"/>
      <w:u w:val="single"/>
      <w14:textFill>
        <w14:solidFill>
          <w14:schemeClr w14:val="hlink"/>
        </w14:solidFill>
      </w14:textFill>
    </w:rPr>
  </w:style>
  <w:style w:type="character" w:customStyle="1" w:styleId="14">
    <w:name w:val="页眉 字符"/>
    <w:basedOn w:val="9"/>
    <w:link w:val="6"/>
    <w:autoRedefine/>
    <w:qFormat/>
    <w:uiPriority w:val="99"/>
    <w:rPr>
      <w:sz w:val="18"/>
      <w:szCs w:val="18"/>
    </w:rPr>
  </w:style>
  <w:style w:type="character" w:customStyle="1" w:styleId="15">
    <w:name w:val="页脚 字符"/>
    <w:basedOn w:val="9"/>
    <w:link w:val="5"/>
    <w:autoRedefine/>
    <w:qFormat/>
    <w:uiPriority w:val="99"/>
    <w:rPr>
      <w:sz w:val="18"/>
      <w:szCs w:val="18"/>
    </w:rPr>
  </w:style>
  <w:style w:type="character" w:customStyle="1" w:styleId="16">
    <w:name w:val="未处理的提及1"/>
    <w:basedOn w:val="9"/>
    <w:autoRedefine/>
    <w:semiHidden/>
    <w:unhideWhenUsed/>
    <w:qFormat/>
    <w:uiPriority w:val="99"/>
    <w:rPr>
      <w:color w:val="605E5C"/>
      <w:shd w:val="clear" w:color="auto" w:fill="E1DFDD"/>
    </w:rPr>
  </w:style>
  <w:style w:type="paragraph" w:styleId="17">
    <w:name w:val="List Paragraph"/>
    <w:basedOn w:val="1"/>
    <w:autoRedefine/>
    <w:qFormat/>
    <w:uiPriority w:val="34"/>
    <w:pPr>
      <w:ind w:firstLine="420" w:firstLineChars="200"/>
    </w:pPr>
  </w:style>
  <w:style w:type="character" w:customStyle="1" w:styleId="18">
    <w:name w:val="未处理的提及2"/>
    <w:basedOn w:val="9"/>
    <w:autoRedefine/>
    <w:semiHidden/>
    <w:unhideWhenUsed/>
    <w:qFormat/>
    <w:uiPriority w:val="99"/>
    <w:rPr>
      <w:color w:val="605E5C"/>
      <w:shd w:val="clear" w:color="auto" w:fill="E1DFDD"/>
    </w:rPr>
  </w:style>
  <w:style w:type="character" w:customStyle="1" w:styleId="19">
    <w:name w:val="标题 3 字符"/>
    <w:link w:val="4"/>
    <w:autoRedefine/>
    <w:qFormat/>
    <w:uiPriority w:val="0"/>
    <w:rPr>
      <w:rFonts w:ascii="方正楷体简体" w:hAnsi="方正楷体简体" w:eastAsia="方正楷体简体"/>
      <w:sz w:val="32"/>
    </w:rPr>
  </w:style>
  <w:style w:type="table" w:customStyle="1" w:styleId="20">
    <w:name w:val="Table Normal"/>
    <w:autoRedefine/>
    <w:semiHidden/>
    <w:unhideWhenUsed/>
    <w:qFormat/>
    <w:uiPriority w:val="0"/>
    <w:tblPr>
      <w:tblCellMar>
        <w:top w:w="0" w:type="dxa"/>
        <w:left w:w="0" w:type="dxa"/>
        <w:bottom w:w="0" w:type="dxa"/>
        <w:right w:w="0" w:type="dxa"/>
      </w:tblCellMar>
    </w:tblPr>
  </w:style>
  <w:style w:type="character" w:customStyle="1" w:styleId="21">
    <w:name w:val="未处理的提及3"/>
    <w:basedOn w:val="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2316</Words>
  <Characters>2396</Characters>
  <Lines>17</Lines>
  <Paragraphs>4</Paragraphs>
  <TotalTime>0</TotalTime>
  <ScaleCrop>false</ScaleCrop>
  <LinksUpToDate>false</LinksUpToDate>
  <CharactersWithSpaces>2397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2024-09-24T12:37:00Z</dcterms:created>
  <dc:creator>张 斌</dc:creator>
  <cp:lastModifiedBy>金阳</cp:lastModifiedBy>
  <cp:lastPrinted>2023-02-10T11:47:00Z</cp:lastPrinted>
  <dcterms:modified xsi:type="dcterms:W3CDTF">2024-09-25T09:20:29Z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72D0189200E84241B217679906185261_13</vt:lpwstr>
  </property>
</Properties>
</file>