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7544E0">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46：</w:t>
      </w:r>
    </w:p>
    <w:p w14:paraId="18E02AD5">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“湿法磷酸除杂</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新技术</w:t>
      </w: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6AD7DE9B">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【贵州磷化（集团）有限责任公司】</w:t>
      </w:r>
    </w:p>
    <w:p w14:paraId="7683C71B">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387A5F1B">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一、出题</w:t>
      </w:r>
      <w:r>
        <w:rPr>
          <w:rFonts w:ascii="Times New Roman" w:hAnsi="Times New Roman" w:eastAsia="黑体" w:cs="黑体"/>
          <w:color w:val="000000" w:themeColor="text1"/>
          <w:lang w:val="en-US"/>
          <w14:textFill>
            <w14:solidFill>
              <w14:schemeClr w14:val="tx1"/>
            </w14:solidFill>
          </w14:textFill>
        </w:rPr>
        <w:t>单位</w:t>
      </w:r>
    </w:p>
    <w:p w14:paraId="499F51DF">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贵州磷化（集团）有限责任公司</w:t>
      </w:r>
    </w:p>
    <w:p w14:paraId="0014A14C">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二、题目名称</w:t>
      </w:r>
    </w:p>
    <w:p w14:paraId="327C867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湿法磷酸除杂新技术</w:t>
      </w:r>
    </w:p>
    <w:p w14:paraId="6E3EB933">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三、题目介绍</w:t>
      </w:r>
    </w:p>
    <w:p w14:paraId="7753D5AE">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在国家“双碳”战略目标背景下，</w:t>
      </w:r>
      <w:r>
        <w:rPr>
          <w:rFonts w:eastAsia="仿宋_GB2312" w:cs="仿宋_GB2312"/>
          <w:sz w:val="32"/>
          <w:szCs w:val="32"/>
          <w:lang w:val="en-US"/>
        </w:rPr>
        <w:t>2023年，中国新能源汽车销量949.5万辆，同比增长37.9%，产销量连续9年位居世界第一，占全球的比重超过60%。</w:t>
      </w:r>
      <w:r>
        <w:rPr>
          <w:rFonts w:hint="eastAsia" w:eastAsia="仿宋_GB2312" w:cs="仿宋_GB2312"/>
          <w:sz w:val="32"/>
          <w:szCs w:val="32"/>
          <w:lang w:val="en-US"/>
        </w:rPr>
        <w:t>据</w:t>
      </w:r>
      <w:r>
        <w:rPr>
          <w:rFonts w:eastAsia="仿宋_GB2312" w:cs="仿宋_GB2312"/>
          <w:sz w:val="32"/>
          <w:szCs w:val="32"/>
          <w:lang w:val="en-US"/>
        </w:rPr>
        <w:t>预测，到2025年，全球新能源汽车销量将超过2000万辆</w:t>
      </w:r>
      <w:r>
        <w:rPr>
          <w:rFonts w:hint="eastAsia" w:eastAsia="仿宋_GB2312" w:cs="仿宋_GB2312"/>
          <w:sz w:val="32"/>
          <w:szCs w:val="32"/>
          <w:lang w:val="en-US"/>
        </w:rPr>
        <w:t>。新能源汽车行业的高速发展对我国“双碳”战略形成了有力支撑。而</w:t>
      </w:r>
      <w:r>
        <w:rPr>
          <w:rFonts w:eastAsia="仿宋_GB2312" w:cs="仿宋_GB2312"/>
          <w:sz w:val="32"/>
          <w:szCs w:val="32"/>
          <w:lang w:val="en-US"/>
        </w:rPr>
        <w:t>磷酸铁锂正极材料</w:t>
      </w:r>
      <w:r>
        <w:rPr>
          <w:rFonts w:hint="eastAsia" w:eastAsia="仿宋_GB2312" w:cs="仿宋_GB2312"/>
          <w:sz w:val="32"/>
          <w:szCs w:val="32"/>
          <w:lang w:val="en-US"/>
        </w:rPr>
        <w:t>因</w:t>
      </w:r>
      <w:r>
        <w:rPr>
          <w:rFonts w:eastAsia="仿宋_GB2312" w:cs="仿宋_GB2312"/>
          <w:sz w:val="32"/>
          <w:szCs w:val="32"/>
          <w:lang w:val="en-US"/>
        </w:rPr>
        <w:t>其优良的性能和低廉的价格，在</w:t>
      </w:r>
      <w:r>
        <w:rPr>
          <w:rFonts w:hint="eastAsia" w:eastAsia="仿宋_GB2312" w:cs="仿宋_GB2312"/>
          <w:sz w:val="32"/>
          <w:szCs w:val="32"/>
          <w:lang w:val="en-US"/>
        </w:rPr>
        <w:t>新能源汽车</w:t>
      </w:r>
      <w:r>
        <w:rPr>
          <w:rFonts w:eastAsia="仿宋_GB2312" w:cs="仿宋_GB2312"/>
          <w:sz w:val="32"/>
          <w:szCs w:val="32"/>
          <w:lang w:val="en-US"/>
        </w:rPr>
        <w:t>电池市场中占据着重要的地位，2023年，我国磷酸铁锂正极材料出货量达165万吨，同比增长48.3%，行业预测2025年磷酸铁锂材料需求量将超200万吨</w:t>
      </w:r>
      <w:r>
        <w:rPr>
          <w:rFonts w:hint="eastAsia" w:eastAsia="仿宋_GB2312" w:cs="仿宋_GB2312"/>
          <w:sz w:val="32"/>
          <w:szCs w:val="32"/>
          <w:lang w:val="en-US"/>
        </w:rPr>
        <w:t>。</w:t>
      </w:r>
      <w:r>
        <w:rPr>
          <w:rFonts w:eastAsia="仿宋_GB2312" w:cs="仿宋_GB2312"/>
          <w:sz w:val="32"/>
          <w:szCs w:val="32"/>
          <w:lang w:val="en-US"/>
        </w:rPr>
        <w:t>磷酸作为</w:t>
      </w:r>
      <w:r>
        <w:rPr>
          <w:rFonts w:hint="eastAsia" w:eastAsia="仿宋_GB2312" w:cs="仿宋_GB2312"/>
          <w:sz w:val="32"/>
          <w:szCs w:val="32"/>
          <w:lang w:val="en-US"/>
        </w:rPr>
        <w:t>磷酸铁锂电池正极材料前驱体</w:t>
      </w:r>
      <w:r>
        <w:rPr>
          <w:rFonts w:eastAsia="仿宋_GB2312" w:cs="仿宋_GB2312"/>
          <w:sz w:val="32"/>
          <w:szCs w:val="32"/>
          <w:lang w:val="en-US"/>
        </w:rPr>
        <w:t>的主原料，未来将保持极大的需</w:t>
      </w:r>
      <w:r>
        <w:rPr>
          <w:rFonts w:hint="eastAsia" w:eastAsia="仿宋_GB2312" w:cs="仿宋_GB2312"/>
          <w:sz w:val="32"/>
          <w:szCs w:val="32"/>
          <w:lang w:val="en-US"/>
        </w:rPr>
        <w:t>求量，可以说磷酸的高效高质生产，对新能源汽车行业始终占据发展主动权和实现高质量发展起着重要作用。同时，</w:t>
      </w:r>
      <w:r>
        <w:rPr>
          <w:rFonts w:eastAsia="仿宋_GB2312" w:cs="仿宋_GB2312"/>
          <w:sz w:val="32"/>
          <w:szCs w:val="32"/>
          <w:lang w:val="en-US"/>
        </w:rPr>
        <w:t>高浓度磷复肥是粮食的</w:t>
      </w:r>
      <w:r>
        <w:rPr>
          <w:rFonts w:hint="eastAsia" w:eastAsia="仿宋_GB2312" w:cs="仿宋_GB2312"/>
          <w:sz w:val="32"/>
          <w:szCs w:val="32"/>
          <w:lang w:val="en-US"/>
        </w:rPr>
        <w:t>“</w:t>
      </w:r>
      <w:r>
        <w:rPr>
          <w:rFonts w:eastAsia="仿宋_GB2312" w:cs="仿宋_GB2312"/>
          <w:sz w:val="32"/>
          <w:szCs w:val="32"/>
          <w:lang w:val="en-US"/>
        </w:rPr>
        <w:t>粮食</w:t>
      </w:r>
      <w:r>
        <w:rPr>
          <w:rFonts w:hint="eastAsia" w:eastAsia="仿宋_GB2312" w:cs="仿宋_GB2312"/>
          <w:sz w:val="32"/>
          <w:szCs w:val="32"/>
          <w:lang w:val="en-US"/>
        </w:rPr>
        <w:t>”</w:t>
      </w:r>
      <w:r>
        <w:rPr>
          <w:rFonts w:eastAsia="仿宋_GB2312" w:cs="仿宋_GB2312"/>
          <w:sz w:val="32"/>
          <w:szCs w:val="32"/>
          <w:lang w:val="en-US"/>
        </w:rPr>
        <w:t>，</w:t>
      </w:r>
      <w:r>
        <w:rPr>
          <w:rFonts w:hint="eastAsia" w:eastAsia="仿宋_GB2312" w:cs="仿宋_GB2312"/>
          <w:sz w:val="32"/>
          <w:szCs w:val="32"/>
          <w:lang w:val="en-US"/>
        </w:rPr>
        <w:t>对我国粮食稳定增产发挥着重要作用，而</w:t>
      </w:r>
      <w:r>
        <w:rPr>
          <w:rFonts w:eastAsia="仿宋_GB2312" w:cs="仿宋_GB2312"/>
          <w:sz w:val="32"/>
          <w:szCs w:val="32"/>
          <w:lang w:val="en-US"/>
        </w:rPr>
        <w:t>磷酸作为高浓度磷复肥的主要原料，磷酸的</w:t>
      </w:r>
      <w:r>
        <w:rPr>
          <w:rFonts w:hint="eastAsia" w:eastAsia="仿宋_GB2312" w:cs="仿宋_GB2312"/>
          <w:sz w:val="32"/>
          <w:szCs w:val="32"/>
          <w:lang w:val="en-US"/>
        </w:rPr>
        <w:t>高质高效生产</w:t>
      </w:r>
      <w:r>
        <w:rPr>
          <w:rFonts w:eastAsia="仿宋_GB2312" w:cs="仿宋_GB2312"/>
          <w:sz w:val="32"/>
          <w:szCs w:val="32"/>
          <w:lang w:val="en-US"/>
        </w:rPr>
        <w:t>也直接关系</w:t>
      </w:r>
      <w:r>
        <w:rPr>
          <w:rFonts w:hint="eastAsia" w:eastAsia="仿宋_GB2312" w:cs="仿宋_GB2312"/>
          <w:sz w:val="32"/>
          <w:szCs w:val="32"/>
          <w:lang w:val="en-US"/>
        </w:rPr>
        <w:t>着国家粮食安全战略的落地实施。</w:t>
      </w:r>
    </w:p>
    <w:p w14:paraId="663973A9">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我国磷化工发展较晚，除杂净化技术相对落后，工业磷酸中湿法工艺占比相对较低，2022年，我国湿法工艺生产的工业磷酸占比仅约45%，湿法磷酸除杂技术仍有较大的发展空间</w:t>
      </w:r>
      <w:r>
        <w:rPr>
          <w:rFonts w:hint="eastAsia" w:eastAsia="仿宋_GB2312" w:cs="仿宋_GB2312"/>
          <w:sz w:val="32"/>
          <w:szCs w:val="32"/>
          <w:lang w:val="en-US"/>
        </w:rPr>
        <w:t>，也容易被国外“卡脖子”</w:t>
      </w:r>
      <w:r>
        <w:rPr>
          <w:rFonts w:eastAsia="仿宋_GB2312" w:cs="仿宋_GB2312"/>
          <w:sz w:val="32"/>
          <w:szCs w:val="32"/>
          <w:lang w:val="en-US"/>
        </w:rPr>
        <w:t>。由于湿法磷酸为酸与磷矿的反应产物，磷酸中含有大量的阳离子（如钙、镁、铁、铝、钾和钠等）、阴离子（如氟离子和硫酸根离子）和重金属离子（如砷、铅、镉、铬和汞等）等，这些杂质，一方面，极大地限制了湿法磷酸食品、医药、半导体和新能源</w:t>
      </w:r>
      <w:r>
        <w:rPr>
          <w:rFonts w:hint="eastAsia" w:eastAsia="仿宋_GB2312" w:cs="仿宋_GB2312"/>
          <w:sz w:val="32"/>
          <w:szCs w:val="32"/>
          <w:lang w:val="en-US"/>
        </w:rPr>
        <w:t>电池材料</w:t>
      </w:r>
      <w:r>
        <w:rPr>
          <w:rFonts w:eastAsia="仿宋_GB2312" w:cs="仿宋_GB2312"/>
          <w:sz w:val="32"/>
          <w:szCs w:val="32"/>
          <w:lang w:val="en-US"/>
        </w:rPr>
        <w:t>等行业的应用；另一方面，影响了</w:t>
      </w:r>
      <w:r>
        <w:rPr>
          <w:rFonts w:hint="eastAsia" w:eastAsia="仿宋_GB2312" w:cs="仿宋_GB2312"/>
          <w:sz w:val="32"/>
          <w:szCs w:val="32"/>
          <w:lang w:val="en-US"/>
        </w:rPr>
        <w:t>高浓度</w:t>
      </w:r>
      <w:r>
        <w:rPr>
          <w:rFonts w:eastAsia="仿宋_GB2312" w:cs="仿宋_GB2312"/>
          <w:sz w:val="32"/>
          <w:szCs w:val="32"/>
          <w:lang w:val="en-US"/>
        </w:rPr>
        <w:t>磷复肥产品的品质。目前，国内主流的除杂技术为有机溶剂萃取法，这一方法的选择性较差、净化率偏低，且萃余磷酸的利用问题限制其进一步</w:t>
      </w:r>
      <w:r>
        <w:rPr>
          <w:rFonts w:hint="eastAsia" w:eastAsia="仿宋_GB2312" w:cs="仿宋_GB2312"/>
          <w:sz w:val="32"/>
          <w:szCs w:val="32"/>
          <w:lang w:val="en-US"/>
        </w:rPr>
        <w:t>发</w:t>
      </w:r>
      <w:r>
        <w:rPr>
          <w:rFonts w:eastAsia="仿宋_GB2312" w:cs="仿宋_GB2312"/>
          <w:sz w:val="32"/>
          <w:szCs w:val="32"/>
          <w:lang w:val="en-US"/>
        </w:rPr>
        <w:t>展，因此迫切地需要寻求湿法磷酸除杂新技术以满足下游行业对磷酸品质的要求</w:t>
      </w:r>
      <w:r>
        <w:rPr>
          <w:rFonts w:hint="eastAsia" w:eastAsia="仿宋_GB2312" w:cs="仿宋_GB2312"/>
          <w:sz w:val="32"/>
          <w:szCs w:val="32"/>
          <w:lang w:val="en-US"/>
        </w:rPr>
        <w:t>，以避免被国外封锁技术，从而影响我国新能源汽车行业健康持续高质量发展，以及影响我国粮食安全</w:t>
      </w:r>
      <w:r>
        <w:rPr>
          <w:rFonts w:eastAsia="仿宋_GB2312" w:cs="仿宋_GB2312"/>
          <w:sz w:val="32"/>
          <w:szCs w:val="32"/>
          <w:lang w:val="en-US"/>
        </w:rPr>
        <w:t>。</w:t>
      </w:r>
    </w:p>
    <w:p w14:paraId="4517198C">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四、参赛对象</w:t>
      </w:r>
    </w:p>
    <w:p w14:paraId="223BF311">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70E89988">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2656E5C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6EB8CD97">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42B407B3">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0F9842F6">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五、答题要求</w:t>
      </w:r>
    </w:p>
    <w:p w14:paraId="5F4D7E2E">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参赛作品均要求围绕硫酸法制备的湿法磷酸除杂新技术（阴离子、阳离子和重金属离子等杂质中一种或多种的去除技术，溶剂萃取法除外）。以成果报告（含第三方相关检测报告、实验数据、影像等相关佐证材料）进行呈现。要求作品逻辑清晰，结构完整，数据真实准确，文字简洁流畅，内容具有创造性，结合企业生产实际，对解决实际问题具有一定指导意义。</w:t>
      </w:r>
    </w:p>
    <w:p w14:paraId="3AEE87FF">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除杂后磷酸需满足以下要求之一：</w:t>
      </w:r>
    </w:p>
    <w:p w14:paraId="6BE420F1">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1.以肥料级磷酸（MER值≤9%）为研究对象，除杂后MER值≤3%;</w:t>
      </w:r>
    </w:p>
    <w:p w14:paraId="29D0BF8E">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2.以萃余磷酸（MER值≤16%）为研究对象，除杂后MER值≤8%;</w:t>
      </w:r>
    </w:p>
    <w:p w14:paraId="485163C2">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3.</w:t>
      </w:r>
      <w:r>
        <w:rPr>
          <w:rFonts w:hint="eastAsia" w:eastAsia="仿宋_GB2312" w:cs="仿宋_GB2312"/>
          <w:sz w:val="32"/>
          <w:szCs w:val="32"/>
          <w:lang w:val="en-US"/>
        </w:rPr>
        <w:t>以</w:t>
      </w:r>
      <w:r>
        <w:rPr>
          <w:rFonts w:eastAsia="仿宋_GB2312" w:cs="仿宋_GB2312"/>
          <w:sz w:val="32"/>
          <w:szCs w:val="32"/>
          <w:lang w:val="en-US"/>
        </w:rPr>
        <w:t>提纯后的净化磷酸（85%实物酸）</w:t>
      </w:r>
      <w:r>
        <w:rPr>
          <w:rFonts w:hint="eastAsia" w:eastAsia="仿宋_GB2312" w:cs="仿宋_GB2312"/>
          <w:sz w:val="32"/>
          <w:szCs w:val="32"/>
          <w:lang w:val="en-US"/>
        </w:rPr>
        <w:t>为研究对象，除杂后</w:t>
      </w:r>
      <w:r>
        <w:rPr>
          <w:rFonts w:eastAsia="仿宋_GB2312" w:cs="仿宋_GB2312"/>
          <w:sz w:val="32"/>
          <w:szCs w:val="32"/>
          <w:lang w:val="en-US"/>
        </w:rPr>
        <w:t>色度（黑曾）≤5，硫酸根≤12ppm，铁≤2ppm，钠≤2.5ppm，钙≤1.5ppm，钾≤1.5ppm，砷≤0.1ppm，氯≤1ppm，铅≤0.3ppm</w:t>
      </w:r>
      <w:r>
        <w:rPr>
          <w:rFonts w:hint="eastAsia" w:eastAsia="仿宋_GB2312" w:cs="仿宋_GB2312"/>
          <w:sz w:val="32"/>
          <w:szCs w:val="32"/>
          <w:lang w:val="en-US"/>
        </w:rPr>
        <w:t>。</w:t>
      </w:r>
    </w:p>
    <w:p w14:paraId="756CD3A7">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 xml:space="preserve">   注：MER=(Fe2O3%+MgO%+Al2O3%) / P2O5%*100%</w:t>
      </w:r>
    </w:p>
    <w:p w14:paraId="6B00A720">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4.根据大赛整体时间安排并结合科研攻关的科学规律，8月12日前，各参赛团队提交作品。</w:t>
      </w:r>
    </w:p>
    <w:p w14:paraId="13186167">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六、作品评选参考标准</w:t>
      </w:r>
    </w:p>
    <w:p w14:paraId="295D59C0">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1.综述丰富性：参赛作品对目前湿法磷酸技术调查充分，评价合理，占比5%。</w:t>
      </w:r>
    </w:p>
    <w:p w14:paraId="7D48F077">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2.</w:t>
      </w:r>
      <w:r>
        <w:rPr>
          <w:rFonts w:eastAsia="仿宋_GB2312" w:cs="仿宋_GB2312"/>
          <w:sz w:val="32"/>
          <w:szCs w:val="32"/>
          <w:lang w:val="en-US"/>
        </w:rPr>
        <w:t>课题契合度：参赛作品功能与项目课题及企业实际紧密结合</w:t>
      </w:r>
      <w:r>
        <w:rPr>
          <w:rFonts w:hint="eastAsia" w:eastAsia="仿宋_GB2312" w:cs="仿宋_GB2312"/>
          <w:sz w:val="32"/>
          <w:szCs w:val="32"/>
          <w:lang w:val="en-US"/>
        </w:rPr>
        <w:t>，占比10%</w:t>
      </w:r>
      <w:r>
        <w:rPr>
          <w:rFonts w:eastAsia="仿宋_GB2312" w:cs="仿宋_GB2312"/>
          <w:sz w:val="32"/>
          <w:szCs w:val="32"/>
          <w:lang w:val="en-US"/>
        </w:rPr>
        <w:t>。</w:t>
      </w:r>
    </w:p>
    <w:p w14:paraId="723DFDA3">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3.技术</w:t>
      </w:r>
      <w:r>
        <w:rPr>
          <w:rFonts w:eastAsia="仿宋_GB2312" w:cs="仿宋_GB2312"/>
          <w:sz w:val="32"/>
          <w:szCs w:val="32"/>
          <w:lang w:val="en-US"/>
        </w:rPr>
        <w:t>创新性：参赛作品具有充分的创意创新特性，应用场景及问题解决思路具备新颖性</w:t>
      </w:r>
      <w:r>
        <w:rPr>
          <w:rFonts w:hint="eastAsia" w:eastAsia="仿宋_GB2312" w:cs="仿宋_GB2312"/>
          <w:sz w:val="32"/>
          <w:szCs w:val="32"/>
          <w:lang w:val="en-US"/>
        </w:rPr>
        <w:t>，占比30%</w:t>
      </w:r>
      <w:r>
        <w:rPr>
          <w:rFonts w:eastAsia="仿宋_GB2312" w:cs="仿宋_GB2312"/>
          <w:sz w:val="32"/>
          <w:szCs w:val="32"/>
          <w:lang w:val="en-US"/>
        </w:rPr>
        <w:t>。</w:t>
      </w:r>
    </w:p>
    <w:p w14:paraId="4F385285">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4.研究合理性：研究思路合理，实验设计科学，占比20%。</w:t>
      </w:r>
    </w:p>
    <w:p w14:paraId="3EC29F58">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5.</w:t>
      </w:r>
      <w:r>
        <w:rPr>
          <w:rFonts w:eastAsia="仿宋_GB2312" w:cs="仿宋_GB2312"/>
          <w:sz w:val="32"/>
          <w:szCs w:val="32"/>
          <w:lang w:val="en-US"/>
        </w:rPr>
        <w:t>文本逻辑性：</w:t>
      </w:r>
      <w:r>
        <w:rPr>
          <w:rFonts w:hint="eastAsia" w:eastAsia="仿宋_GB2312" w:cs="仿宋_GB2312"/>
          <w:sz w:val="32"/>
          <w:szCs w:val="32"/>
          <w:lang w:val="en-US"/>
        </w:rPr>
        <w:t>研究报告逻辑清晰，</w:t>
      </w:r>
      <w:r>
        <w:rPr>
          <w:rFonts w:eastAsia="仿宋_GB2312" w:cs="仿宋_GB2312"/>
          <w:sz w:val="32"/>
          <w:szCs w:val="32"/>
          <w:lang w:val="en-US"/>
        </w:rPr>
        <w:t>结构严谨，语言通顺</w:t>
      </w:r>
      <w:r>
        <w:rPr>
          <w:rFonts w:hint="eastAsia" w:eastAsia="仿宋_GB2312" w:cs="仿宋_GB2312"/>
          <w:sz w:val="32"/>
          <w:szCs w:val="32"/>
          <w:lang w:val="en-US"/>
        </w:rPr>
        <w:t>，占比10%</w:t>
      </w:r>
      <w:r>
        <w:rPr>
          <w:rFonts w:eastAsia="仿宋_GB2312" w:cs="仿宋_GB2312"/>
          <w:sz w:val="32"/>
          <w:szCs w:val="32"/>
          <w:lang w:val="en-US"/>
        </w:rPr>
        <w:t>。</w:t>
      </w:r>
    </w:p>
    <w:p w14:paraId="4B67C371">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6.</w:t>
      </w:r>
      <w:r>
        <w:rPr>
          <w:rFonts w:eastAsia="仿宋_GB2312" w:cs="仿宋_GB2312"/>
          <w:sz w:val="32"/>
          <w:szCs w:val="32"/>
          <w:lang w:val="en-US"/>
        </w:rPr>
        <w:t>应用价值：参赛作品有实际商业价值或潜在商业前景，对</w:t>
      </w:r>
      <w:r>
        <w:rPr>
          <w:rFonts w:hint="eastAsia" w:eastAsia="仿宋_GB2312" w:cs="仿宋_GB2312"/>
          <w:sz w:val="32"/>
          <w:szCs w:val="32"/>
          <w:lang w:val="en-US"/>
        </w:rPr>
        <w:t>湿法磷酸除杂技术发展有一定促进作用，</w:t>
      </w:r>
      <w:r>
        <w:rPr>
          <w:rFonts w:eastAsia="仿宋_GB2312" w:cs="仿宋_GB2312"/>
          <w:sz w:val="32"/>
          <w:szCs w:val="32"/>
          <w:lang w:val="en-US"/>
        </w:rPr>
        <w:t>对企业</w:t>
      </w:r>
      <w:r>
        <w:rPr>
          <w:rFonts w:hint="eastAsia" w:eastAsia="仿宋_GB2312" w:cs="仿宋_GB2312"/>
          <w:sz w:val="32"/>
          <w:szCs w:val="32"/>
          <w:lang w:val="en-US"/>
        </w:rPr>
        <w:t>有</w:t>
      </w:r>
      <w:r>
        <w:rPr>
          <w:rFonts w:eastAsia="仿宋_GB2312" w:cs="仿宋_GB2312"/>
          <w:sz w:val="32"/>
          <w:szCs w:val="32"/>
          <w:lang w:val="en-US"/>
        </w:rPr>
        <w:t>实际</w:t>
      </w:r>
      <w:r>
        <w:rPr>
          <w:rFonts w:hint="eastAsia" w:eastAsia="仿宋_GB2312" w:cs="仿宋_GB2312"/>
          <w:sz w:val="32"/>
          <w:szCs w:val="32"/>
          <w:lang w:val="en-US"/>
        </w:rPr>
        <w:t>的</w:t>
      </w:r>
      <w:r>
        <w:rPr>
          <w:rFonts w:eastAsia="仿宋_GB2312" w:cs="仿宋_GB2312"/>
          <w:sz w:val="32"/>
          <w:szCs w:val="32"/>
          <w:lang w:val="en-US"/>
        </w:rPr>
        <w:t>应用价值，</w:t>
      </w:r>
      <w:r>
        <w:rPr>
          <w:rFonts w:hint="eastAsia" w:eastAsia="仿宋_GB2312" w:cs="仿宋_GB2312"/>
          <w:sz w:val="32"/>
          <w:szCs w:val="32"/>
          <w:lang w:val="en-US"/>
        </w:rPr>
        <w:t>有良好的</w:t>
      </w:r>
      <w:r>
        <w:rPr>
          <w:rFonts w:eastAsia="仿宋_GB2312" w:cs="仿宋_GB2312"/>
          <w:sz w:val="32"/>
          <w:szCs w:val="32"/>
          <w:lang w:val="en-US"/>
        </w:rPr>
        <w:t>经济效益</w:t>
      </w:r>
      <w:r>
        <w:rPr>
          <w:rFonts w:hint="eastAsia" w:eastAsia="仿宋_GB2312" w:cs="仿宋_GB2312"/>
          <w:sz w:val="32"/>
          <w:szCs w:val="32"/>
          <w:lang w:val="en-US"/>
        </w:rPr>
        <w:t>及</w:t>
      </w:r>
      <w:r>
        <w:rPr>
          <w:rFonts w:eastAsia="仿宋_GB2312" w:cs="仿宋_GB2312"/>
          <w:sz w:val="32"/>
          <w:szCs w:val="32"/>
          <w:lang w:val="en-US"/>
        </w:rPr>
        <w:t>社会效益</w:t>
      </w:r>
      <w:r>
        <w:rPr>
          <w:rFonts w:hint="eastAsia" w:eastAsia="仿宋_GB2312" w:cs="仿宋_GB2312"/>
          <w:sz w:val="32"/>
          <w:szCs w:val="32"/>
          <w:lang w:val="en-US"/>
        </w:rPr>
        <w:t>，占比25%</w:t>
      </w:r>
      <w:r>
        <w:rPr>
          <w:rFonts w:eastAsia="仿宋_GB2312" w:cs="仿宋_GB2312"/>
          <w:sz w:val="32"/>
          <w:szCs w:val="32"/>
          <w:lang w:val="en-US"/>
        </w:rPr>
        <w:t>。</w:t>
      </w:r>
    </w:p>
    <w:p w14:paraId="66C1A309">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7.</w:t>
      </w:r>
      <w:r>
        <w:rPr>
          <w:rFonts w:eastAsia="仿宋_GB2312" w:cs="仿宋_GB2312"/>
          <w:sz w:val="32"/>
          <w:szCs w:val="32"/>
          <w:lang w:val="en-US"/>
        </w:rPr>
        <w:t>其他：参赛者必须保证作品的原创性，杜绝一切抄袭或剽窃</w:t>
      </w:r>
      <w:r>
        <w:rPr>
          <w:rFonts w:hint="eastAsia" w:eastAsia="仿宋_GB2312" w:cs="仿宋_GB2312"/>
          <w:sz w:val="32"/>
          <w:szCs w:val="32"/>
          <w:lang w:val="en-US"/>
        </w:rPr>
        <w:t>；</w:t>
      </w:r>
      <w:r>
        <w:rPr>
          <w:rFonts w:eastAsia="仿宋_GB2312" w:cs="仿宋_GB2312"/>
          <w:sz w:val="32"/>
          <w:szCs w:val="32"/>
          <w:lang w:val="en-US"/>
        </w:rPr>
        <w:t>参赛者应严格遵守国家知识产权保护的</w:t>
      </w:r>
      <w:r>
        <w:rPr>
          <w:rFonts w:hint="eastAsia" w:eastAsia="仿宋_GB2312" w:cs="仿宋_GB2312"/>
          <w:sz w:val="32"/>
          <w:szCs w:val="32"/>
          <w:lang w:val="en-US"/>
        </w:rPr>
        <w:t>有关</w:t>
      </w:r>
      <w:r>
        <w:rPr>
          <w:rFonts w:eastAsia="仿宋_GB2312" w:cs="仿宋_GB2312"/>
          <w:sz w:val="32"/>
          <w:szCs w:val="32"/>
          <w:lang w:val="en-US"/>
        </w:rPr>
        <w:t>规定，不得侵犯任何第三方的知识产权或其他权利，如引发知识产权纠纷，由参赛者负</w:t>
      </w:r>
      <w:r>
        <w:rPr>
          <w:rFonts w:hint="eastAsia" w:eastAsia="仿宋_GB2312" w:cs="仿宋_GB2312"/>
          <w:sz w:val="32"/>
          <w:szCs w:val="32"/>
          <w:lang w:val="en-US"/>
        </w:rPr>
        <w:t>全责</w:t>
      </w:r>
      <w:r>
        <w:rPr>
          <w:rFonts w:eastAsia="仿宋_GB2312" w:cs="仿宋_GB2312"/>
          <w:sz w:val="32"/>
          <w:szCs w:val="32"/>
          <w:lang w:val="en-US"/>
        </w:rPr>
        <w:t>。参赛作品提交的材料原则上不予退还，请参赛者自行保存底稿。作品已获得国际竞赛、国家级奖励和其他全国性竞赛获奖作品的，不在申报作品范围之列。</w:t>
      </w:r>
    </w:p>
    <w:p w14:paraId="2D987A12">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七、作品提交及评审安排</w:t>
      </w:r>
      <w:r>
        <w:rPr>
          <w:rFonts w:hint="eastAsia" w:ascii="Times New Roman" w:hAnsi="Times New Roman" w:eastAsia="黑体" w:cs="黑体"/>
          <w:color w:val="000000" w:themeColor="text1"/>
          <w:lang w:val="en-US"/>
          <w14:textFill>
            <w14:solidFill>
              <w14:schemeClr w14:val="tx1"/>
            </w14:solidFill>
          </w14:textFill>
        </w:rPr>
        <w:tab/>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6F1CD10D">
      <w:pPr>
        <w:spacing w:line="560" w:lineRule="exact"/>
        <w:ind w:firstLine="640" w:firstLineChars="200"/>
        <w:jc w:val="both"/>
        <w:rPr>
          <w:rFonts w:eastAsia="方正仿宋_GBK"/>
          <w:color w:val="000000" w:themeColor="text1"/>
          <w:sz w:val="32"/>
          <w:szCs w:val="32"/>
          <w:lang w:val="en-US"/>
          <w14:textFill>
            <w14:solidFill>
              <w14:schemeClr w14:val="tx1"/>
            </w14:solidFill>
          </w14:textFill>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w:t>
      </w:r>
      <w:bookmarkStart w:id="0" w:name="_GoBack"/>
      <w:bookmarkEnd w:id="0"/>
      <w:r>
        <w:rPr>
          <w:rFonts w:eastAsia="仿宋_GB2312" w:cs="仿宋_GB2312"/>
          <w:sz w:val="32"/>
          <w:szCs w:val="32"/>
          <w:lang w:val="en-US"/>
        </w:rPr>
        <w:t>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楷体_GB2312"/>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C6907">
    <w:pPr>
      <w:pStyle w:val="5"/>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62F0FA">
                          <w:pPr>
                            <w:pStyle w:val="5"/>
                            <w:jc w:val="center"/>
                            <w:rPr>
                              <w:rFonts w:hint="eastAsia"/>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1</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B62F0FA">
                    <w:pPr>
                      <w:pStyle w:val="5"/>
                      <w:jc w:val="center"/>
                      <w:rPr>
                        <w:rFonts w:hint="eastAsia"/>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1</w:t>
                    </w:r>
                    <w:r>
                      <w:rPr>
                        <w:rFonts w:ascii="Times New Roman" w:hAnsi="Times New Roman" w:cs="Times New Roman"/>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D2CD3"/>
    <w:multiLevelType w:val="singleLevel"/>
    <w:tmpl w:val="EF1D2CD3"/>
    <w:lvl w:ilvl="0" w:tentative="0">
      <w:start w:val="1"/>
      <w:numFmt w:val="chineseCounting"/>
      <w:pStyle w:val="3"/>
      <w:suff w:val="nothing"/>
      <w:lvlText w:val="%1、"/>
      <w:lvlJc w:val="left"/>
      <w:pPr>
        <w:ind w:left="147" w:firstLine="420"/>
      </w:pPr>
      <w:rPr>
        <w:rFonts w:hint="eastAsia"/>
      </w:rPr>
    </w:lvl>
  </w:abstractNum>
  <w:abstractNum w:abstractNumId="1">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A6775"/>
    <w:rsid w:val="000D57EF"/>
    <w:rsid w:val="0010211D"/>
    <w:rsid w:val="0011069F"/>
    <w:rsid w:val="00111E5D"/>
    <w:rsid w:val="00120156"/>
    <w:rsid w:val="001367A9"/>
    <w:rsid w:val="00143054"/>
    <w:rsid w:val="001579F2"/>
    <w:rsid w:val="00164C26"/>
    <w:rsid w:val="0016564C"/>
    <w:rsid w:val="001B0D74"/>
    <w:rsid w:val="001B2C6C"/>
    <w:rsid w:val="001C0DFA"/>
    <w:rsid w:val="001D0729"/>
    <w:rsid w:val="001E760D"/>
    <w:rsid w:val="001E77C2"/>
    <w:rsid w:val="001F6CC8"/>
    <w:rsid w:val="0020086A"/>
    <w:rsid w:val="00205E3B"/>
    <w:rsid w:val="00236E3E"/>
    <w:rsid w:val="002560B0"/>
    <w:rsid w:val="00281AE9"/>
    <w:rsid w:val="00283877"/>
    <w:rsid w:val="002938E3"/>
    <w:rsid w:val="002B0D40"/>
    <w:rsid w:val="002B6DDC"/>
    <w:rsid w:val="002E7BFD"/>
    <w:rsid w:val="002F7D9C"/>
    <w:rsid w:val="00341051"/>
    <w:rsid w:val="00351403"/>
    <w:rsid w:val="00354FAF"/>
    <w:rsid w:val="00363E2D"/>
    <w:rsid w:val="00371816"/>
    <w:rsid w:val="00392185"/>
    <w:rsid w:val="0039481F"/>
    <w:rsid w:val="003B6C68"/>
    <w:rsid w:val="003B786C"/>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7736"/>
    <w:rsid w:val="00532B4E"/>
    <w:rsid w:val="005333BA"/>
    <w:rsid w:val="00537F15"/>
    <w:rsid w:val="00553DCC"/>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33F6B"/>
    <w:rsid w:val="00636F96"/>
    <w:rsid w:val="00663468"/>
    <w:rsid w:val="0066573D"/>
    <w:rsid w:val="0068166A"/>
    <w:rsid w:val="006A3A6E"/>
    <w:rsid w:val="006A51DF"/>
    <w:rsid w:val="006C3959"/>
    <w:rsid w:val="006C732F"/>
    <w:rsid w:val="006E6DDA"/>
    <w:rsid w:val="006F6631"/>
    <w:rsid w:val="007216F0"/>
    <w:rsid w:val="0072472E"/>
    <w:rsid w:val="0073249A"/>
    <w:rsid w:val="00746651"/>
    <w:rsid w:val="00765C33"/>
    <w:rsid w:val="00777C79"/>
    <w:rsid w:val="007879EC"/>
    <w:rsid w:val="007F195A"/>
    <w:rsid w:val="00805D49"/>
    <w:rsid w:val="00816F55"/>
    <w:rsid w:val="00825FD8"/>
    <w:rsid w:val="008313DD"/>
    <w:rsid w:val="008321B0"/>
    <w:rsid w:val="00851D22"/>
    <w:rsid w:val="00860FD3"/>
    <w:rsid w:val="008669B5"/>
    <w:rsid w:val="00867EEA"/>
    <w:rsid w:val="00872C0C"/>
    <w:rsid w:val="008769EE"/>
    <w:rsid w:val="0088143A"/>
    <w:rsid w:val="008836AC"/>
    <w:rsid w:val="00887D7E"/>
    <w:rsid w:val="0089086B"/>
    <w:rsid w:val="008B43EC"/>
    <w:rsid w:val="008C4B94"/>
    <w:rsid w:val="008E3EE3"/>
    <w:rsid w:val="008F2FB1"/>
    <w:rsid w:val="00912ADC"/>
    <w:rsid w:val="00917F07"/>
    <w:rsid w:val="00923192"/>
    <w:rsid w:val="00931DCA"/>
    <w:rsid w:val="0093518D"/>
    <w:rsid w:val="00937CB6"/>
    <w:rsid w:val="00953BA4"/>
    <w:rsid w:val="00954857"/>
    <w:rsid w:val="009632E8"/>
    <w:rsid w:val="00966187"/>
    <w:rsid w:val="00987542"/>
    <w:rsid w:val="00995541"/>
    <w:rsid w:val="00996802"/>
    <w:rsid w:val="009A5F81"/>
    <w:rsid w:val="00A0235C"/>
    <w:rsid w:val="00A22759"/>
    <w:rsid w:val="00A30D68"/>
    <w:rsid w:val="00A31A98"/>
    <w:rsid w:val="00A4232F"/>
    <w:rsid w:val="00A43480"/>
    <w:rsid w:val="00A460CE"/>
    <w:rsid w:val="00AA7BD8"/>
    <w:rsid w:val="00AB1BF4"/>
    <w:rsid w:val="00AD025A"/>
    <w:rsid w:val="00AD24CF"/>
    <w:rsid w:val="00AD6CFA"/>
    <w:rsid w:val="00AE66B7"/>
    <w:rsid w:val="00B0258C"/>
    <w:rsid w:val="00B32E7F"/>
    <w:rsid w:val="00B40CAF"/>
    <w:rsid w:val="00B52CCC"/>
    <w:rsid w:val="00B70A95"/>
    <w:rsid w:val="00B80EC7"/>
    <w:rsid w:val="00BA70BA"/>
    <w:rsid w:val="00BC1B59"/>
    <w:rsid w:val="00BE634B"/>
    <w:rsid w:val="00BF4E2D"/>
    <w:rsid w:val="00C217F1"/>
    <w:rsid w:val="00C24C93"/>
    <w:rsid w:val="00C60328"/>
    <w:rsid w:val="00C678B8"/>
    <w:rsid w:val="00C81301"/>
    <w:rsid w:val="00C82B11"/>
    <w:rsid w:val="00C90F03"/>
    <w:rsid w:val="00C97BA0"/>
    <w:rsid w:val="00CB5FAC"/>
    <w:rsid w:val="00CF057E"/>
    <w:rsid w:val="00D05DE3"/>
    <w:rsid w:val="00D474E2"/>
    <w:rsid w:val="00D531BB"/>
    <w:rsid w:val="00D55D40"/>
    <w:rsid w:val="00D64A7B"/>
    <w:rsid w:val="00D71164"/>
    <w:rsid w:val="00D755E0"/>
    <w:rsid w:val="00D8092B"/>
    <w:rsid w:val="00D826F5"/>
    <w:rsid w:val="00D905C1"/>
    <w:rsid w:val="00DA4A6A"/>
    <w:rsid w:val="00DB02D9"/>
    <w:rsid w:val="00DB59F1"/>
    <w:rsid w:val="00DE6299"/>
    <w:rsid w:val="00DF09AA"/>
    <w:rsid w:val="00DF64DF"/>
    <w:rsid w:val="00DF78E0"/>
    <w:rsid w:val="00E01DD4"/>
    <w:rsid w:val="00E02303"/>
    <w:rsid w:val="00E05639"/>
    <w:rsid w:val="00E067C4"/>
    <w:rsid w:val="00E13134"/>
    <w:rsid w:val="00E30024"/>
    <w:rsid w:val="00E46C70"/>
    <w:rsid w:val="00E47733"/>
    <w:rsid w:val="00E5011B"/>
    <w:rsid w:val="00E524CD"/>
    <w:rsid w:val="00E65FC6"/>
    <w:rsid w:val="00E72C07"/>
    <w:rsid w:val="00E909FD"/>
    <w:rsid w:val="00EA0B44"/>
    <w:rsid w:val="00EA697C"/>
    <w:rsid w:val="00EB1E9B"/>
    <w:rsid w:val="00EB2BDB"/>
    <w:rsid w:val="00EB4B20"/>
    <w:rsid w:val="00EF3C50"/>
    <w:rsid w:val="00F1317D"/>
    <w:rsid w:val="00F256C4"/>
    <w:rsid w:val="00F26931"/>
    <w:rsid w:val="00F57CAE"/>
    <w:rsid w:val="00F70F5B"/>
    <w:rsid w:val="00F74A1C"/>
    <w:rsid w:val="00F75202"/>
    <w:rsid w:val="00F910DA"/>
    <w:rsid w:val="00FA1D99"/>
    <w:rsid w:val="00FE3B43"/>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654211"/>
    <w:rsid w:val="0671705A"/>
    <w:rsid w:val="06732134"/>
    <w:rsid w:val="06F55DEF"/>
    <w:rsid w:val="07463F1D"/>
    <w:rsid w:val="078F2493"/>
    <w:rsid w:val="07901CC5"/>
    <w:rsid w:val="0795514D"/>
    <w:rsid w:val="0840076F"/>
    <w:rsid w:val="084E36AF"/>
    <w:rsid w:val="08601D96"/>
    <w:rsid w:val="08C25676"/>
    <w:rsid w:val="09644BDE"/>
    <w:rsid w:val="09AA3609"/>
    <w:rsid w:val="09DA4A26"/>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4414B7"/>
    <w:rsid w:val="189B4472"/>
    <w:rsid w:val="19291BC7"/>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53695"/>
    <w:rsid w:val="1EA907D1"/>
    <w:rsid w:val="1F066139"/>
    <w:rsid w:val="1F3C04FF"/>
    <w:rsid w:val="1F762BAF"/>
    <w:rsid w:val="20123648"/>
    <w:rsid w:val="214B1290"/>
    <w:rsid w:val="21DA0F90"/>
    <w:rsid w:val="21FD6C01"/>
    <w:rsid w:val="22463DDE"/>
    <w:rsid w:val="227E692E"/>
    <w:rsid w:val="22881F58"/>
    <w:rsid w:val="22E55DA3"/>
    <w:rsid w:val="231F12DE"/>
    <w:rsid w:val="23531B69"/>
    <w:rsid w:val="2376311D"/>
    <w:rsid w:val="23835AF5"/>
    <w:rsid w:val="23991047"/>
    <w:rsid w:val="23B107E7"/>
    <w:rsid w:val="23B940CE"/>
    <w:rsid w:val="242F1397"/>
    <w:rsid w:val="25324A72"/>
    <w:rsid w:val="254C6200"/>
    <w:rsid w:val="25BD2529"/>
    <w:rsid w:val="2604714B"/>
    <w:rsid w:val="26680B0E"/>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DC31699"/>
    <w:rsid w:val="2E44738D"/>
    <w:rsid w:val="2E483CF0"/>
    <w:rsid w:val="2EAE282B"/>
    <w:rsid w:val="2ED43E1F"/>
    <w:rsid w:val="2EF61F5F"/>
    <w:rsid w:val="2F204D2F"/>
    <w:rsid w:val="2F213D0C"/>
    <w:rsid w:val="2F6B6D60"/>
    <w:rsid w:val="2FCD7BF6"/>
    <w:rsid w:val="30280776"/>
    <w:rsid w:val="30B80441"/>
    <w:rsid w:val="30D8752B"/>
    <w:rsid w:val="31327933"/>
    <w:rsid w:val="314F7592"/>
    <w:rsid w:val="32047B94"/>
    <w:rsid w:val="32886AF3"/>
    <w:rsid w:val="32EF5010"/>
    <w:rsid w:val="33020A40"/>
    <w:rsid w:val="33047391"/>
    <w:rsid w:val="333332D8"/>
    <w:rsid w:val="333C43C8"/>
    <w:rsid w:val="338737FF"/>
    <w:rsid w:val="33D41730"/>
    <w:rsid w:val="347270AC"/>
    <w:rsid w:val="34A400A9"/>
    <w:rsid w:val="350D59DC"/>
    <w:rsid w:val="351116A8"/>
    <w:rsid w:val="359C73A0"/>
    <w:rsid w:val="35F73B2D"/>
    <w:rsid w:val="36160F00"/>
    <w:rsid w:val="36A171E4"/>
    <w:rsid w:val="375B41E8"/>
    <w:rsid w:val="37983B5D"/>
    <w:rsid w:val="37CC1A7E"/>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76EA6"/>
    <w:rsid w:val="40244897"/>
    <w:rsid w:val="40504E9C"/>
    <w:rsid w:val="4090448B"/>
    <w:rsid w:val="40C2266A"/>
    <w:rsid w:val="4185378C"/>
    <w:rsid w:val="426C7660"/>
    <w:rsid w:val="431E490D"/>
    <w:rsid w:val="4384772F"/>
    <w:rsid w:val="43850177"/>
    <w:rsid w:val="43865400"/>
    <w:rsid w:val="43B738A7"/>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83FF8"/>
    <w:rsid w:val="5AAB75B9"/>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8A708C"/>
    <w:rsid w:val="69B92ACF"/>
    <w:rsid w:val="69BF1317"/>
    <w:rsid w:val="69ED05F9"/>
    <w:rsid w:val="6B263ACF"/>
    <w:rsid w:val="6B73602A"/>
    <w:rsid w:val="6B8B6CF1"/>
    <w:rsid w:val="6BDF6CC4"/>
    <w:rsid w:val="6C1660AA"/>
    <w:rsid w:val="6C234574"/>
    <w:rsid w:val="6C4142CA"/>
    <w:rsid w:val="6E231488"/>
    <w:rsid w:val="6E7E2016"/>
    <w:rsid w:val="6F0452B4"/>
    <w:rsid w:val="6F4C6B46"/>
    <w:rsid w:val="70905002"/>
    <w:rsid w:val="70BB7C71"/>
    <w:rsid w:val="717D0E42"/>
    <w:rsid w:val="719F75B5"/>
    <w:rsid w:val="71B400B8"/>
    <w:rsid w:val="71BF5D6D"/>
    <w:rsid w:val="72516F6C"/>
    <w:rsid w:val="72EF1566"/>
    <w:rsid w:val="733110AE"/>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156F08"/>
    <w:rsid w:val="79220BB1"/>
    <w:rsid w:val="79936676"/>
    <w:rsid w:val="79A52F07"/>
    <w:rsid w:val="7A6F2A3A"/>
    <w:rsid w:val="7A8A0B42"/>
    <w:rsid w:val="7B541151"/>
    <w:rsid w:val="7B851976"/>
    <w:rsid w:val="7B9A12F6"/>
    <w:rsid w:val="7BBB15F0"/>
    <w:rsid w:val="7BD4353D"/>
    <w:rsid w:val="7BE772BD"/>
    <w:rsid w:val="7C07A0F5"/>
    <w:rsid w:val="7C0E057E"/>
    <w:rsid w:val="7C15268D"/>
    <w:rsid w:val="7C5311B3"/>
    <w:rsid w:val="7CDB7433"/>
    <w:rsid w:val="7D0F22FE"/>
    <w:rsid w:val="7D460711"/>
    <w:rsid w:val="7D717185"/>
    <w:rsid w:val="7D7635FF"/>
    <w:rsid w:val="7D8111E0"/>
    <w:rsid w:val="7DB10E50"/>
    <w:rsid w:val="7E172803"/>
    <w:rsid w:val="7EC13FAE"/>
    <w:rsid w:val="7F152E80"/>
    <w:rsid w:val="7F207CC7"/>
    <w:rsid w:val="7F3D3C2E"/>
    <w:rsid w:val="7F770BAF"/>
    <w:rsid w:val="7F8B2858"/>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numPr>
        <w:ilvl w:val="0"/>
        <w:numId w:val="1"/>
      </w:numPr>
      <w:spacing w:line="560" w:lineRule="exact"/>
      <w:ind w:left="0" w:firstLine="880" w:firstLineChars="200"/>
      <w:outlineLvl w:val="1"/>
    </w:pPr>
    <w:rPr>
      <w:rFonts w:ascii="方正黑体简体" w:hAnsi="方正黑体简体" w:eastAsia="方正黑体简体"/>
      <w:sz w:val="32"/>
      <w:szCs w:val="22"/>
    </w:rPr>
  </w:style>
  <w:style w:type="paragraph" w:styleId="4">
    <w:name w:val="heading 3"/>
    <w:basedOn w:val="1"/>
    <w:next w:val="1"/>
    <w:link w:val="19"/>
    <w:autoRedefine/>
    <w:unhideWhenUsed/>
    <w:qFormat/>
    <w:uiPriority w:val="9"/>
    <w:pPr>
      <w:keepNext/>
      <w:keepLines/>
      <w:numPr>
        <w:ilvl w:val="0"/>
        <w:numId w:val="2"/>
      </w:numPr>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0"/>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2268</Words>
  <Characters>2470</Characters>
  <Lines>18</Lines>
  <Paragraphs>5</Paragraphs>
  <TotalTime>8</TotalTime>
  <ScaleCrop>false</ScaleCrop>
  <LinksUpToDate>false</LinksUpToDate>
  <CharactersWithSpaces>2476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2024-09-24T13:55:00Z</dcterms:created>
  <dc:creator>张 斌</dc:creator>
  <cp:lastModifiedBy>金阳</cp:lastModifiedBy>
  <cp:lastPrinted>2023-02-10T11:47:00Z</cp:lastPrinted>
  <dcterms:modified xsi:type="dcterms:W3CDTF">2024-09-25T09:19:33Z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