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93D14">
      <w:pPr>
        <w:pStyle w:val="2"/>
        <w:numPr>
          <w:ilvl w:val="0"/>
          <w:numId w:val="0"/>
        </w:numPr>
        <w:rPr>
          <w:rFonts w:hint="default" w:ascii="Times New Roman" w:hAnsi="Times New Roman" w:eastAsia="仿宋_GB2312" w:cs="仿宋_GB2312"/>
          <w:b w:val="0"/>
          <w:bCs w:val="0"/>
          <w:color w:val="000000" w:themeColor="text1"/>
          <w:szCs w:val="32"/>
          <w14:textFill>
            <w14:solidFill>
              <w14:schemeClr w14:val="tx1"/>
            </w14:solidFill>
          </w14:textFill>
        </w:rPr>
      </w:pPr>
      <w:r>
        <w:rPr>
          <w:rFonts w:hint="default" w:ascii="Times New Roman" w:hAnsi="Times New Roman" w:eastAsia="仿宋_GB2312" w:cs="仿宋_GB2312"/>
          <w:b w:val="0"/>
          <w:bCs w:val="0"/>
          <w:color w:val="000000" w:themeColor="text1"/>
          <w:szCs w:val="32"/>
          <w14:textFill>
            <w14:solidFill>
              <w14:schemeClr w14:val="tx1"/>
            </w14:solidFill>
          </w14:textFill>
        </w:rPr>
        <w:t>题目</w:t>
      </w:r>
      <w:r>
        <w:rPr>
          <w:rFonts w:ascii="Times New Roman" w:hAnsi="Times New Roman" w:eastAsia="仿宋_GB2312" w:cs="仿宋_GB2312"/>
          <w:b w:val="0"/>
          <w:bCs w:val="0"/>
          <w:color w:val="000000" w:themeColor="text1"/>
          <w:szCs w:val="32"/>
          <w14:textFill>
            <w14:solidFill>
              <w14:schemeClr w14:val="tx1"/>
            </w14:solidFill>
          </w14:textFill>
        </w:rPr>
        <w:t>45：</w:t>
      </w:r>
    </w:p>
    <w:p w14:paraId="1C28FECF">
      <w:pPr>
        <w:pStyle w:val="2"/>
        <w:numPr>
          <w:ilvl w:val="0"/>
          <w:numId w:val="0"/>
        </w:numPr>
        <w:spacing w:line="240" w:lineRule="auto"/>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“陆相页岩油绿色开采和碳埋存协同方法</w:t>
      </w:r>
    </w:p>
    <w:p w14:paraId="6BC41D2B">
      <w:pPr>
        <w:pStyle w:val="2"/>
        <w:numPr>
          <w:ilvl w:val="0"/>
          <w:numId w:val="0"/>
        </w:numPr>
        <w:spacing w:line="240" w:lineRule="auto"/>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研究”比赛方案</w:t>
      </w:r>
    </w:p>
    <w:p w14:paraId="5D9FEFE2">
      <w:pPr>
        <w:spacing w:line="240" w:lineRule="auto"/>
        <w:ind w:firstLine="0" w:firstLineChars="0"/>
        <w:jc w:val="center"/>
        <w:rPr>
          <w:rFonts w:eastAsia="楷体_GB2312" w:cs="楷体_GB2312"/>
          <w:color w:val="000000" w:themeColor="text1"/>
          <w:szCs w:val="32"/>
          <w:lang w:val="en-US"/>
          <w14:textFill>
            <w14:solidFill>
              <w14:schemeClr w14:val="tx1"/>
            </w14:solidFill>
          </w14:textFill>
        </w:rPr>
      </w:pPr>
      <w:r>
        <w:rPr>
          <w:rFonts w:hint="eastAsia" w:eastAsia="楷体_GB2312" w:cs="楷体_GB2312"/>
          <w:color w:val="000000" w:themeColor="text1"/>
          <w:szCs w:val="32"/>
          <w:lang w:val="en-US"/>
          <w14:textFill>
            <w14:solidFill>
              <w14:schemeClr w14:val="tx1"/>
            </w14:solidFill>
          </w14:textFill>
        </w:rPr>
        <w:t>（中国石油天然气股份有限公司勘探开发研究院、</w:t>
      </w:r>
    </w:p>
    <w:p w14:paraId="5BC29548">
      <w:pPr>
        <w:spacing w:line="240" w:lineRule="auto"/>
        <w:ind w:firstLine="0" w:firstLineChars="0"/>
        <w:jc w:val="center"/>
        <w:rPr>
          <w:rFonts w:eastAsia="楷体_GB2312" w:cs="楷体_GB2312"/>
          <w:color w:val="000000" w:themeColor="text1"/>
          <w:szCs w:val="32"/>
          <w:lang w:val="en-US"/>
          <w14:textFill>
            <w14:solidFill>
              <w14:schemeClr w14:val="tx1"/>
            </w14:solidFill>
          </w14:textFill>
        </w:rPr>
      </w:pPr>
      <w:r>
        <w:rPr>
          <w:rFonts w:hint="eastAsia" w:eastAsia="楷体_GB2312" w:cs="楷体_GB2312"/>
          <w:color w:val="000000" w:themeColor="text1"/>
          <w:szCs w:val="32"/>
          <w:lang w:val="en-US"/>
          <w14:textFill>
            <w14:solidFill>
              <w14:schemeClr w14:val="tx1"/>
            </w14:solidFill>
          </w14:textFill>
        </w:rPr>
        <w:t>多资源协同陆相页岩油绿色开采全国重点实验室）</w:t>
      </w:r>
    </w:p>
    <w:p w14:paraId="52E5BF60">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p>
    <w:p w14:paraId="52EBA602">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一、出题</w:t>
      </w:r>
      <w:r>
        <w:rPr>
          <w:rFonts w:ascii="Times New Roman" w:hAnsi="Times New Roman" w:eastAsia="黑体" w:cs="黑体"/>
          <w:color w:val="000000" w:themeColor="text1"/>
          <w:lang w:val="en-US"/>
          <w14:textFill>
            <w14:solidFill>
              <w14:schemeClr w14:val="tx1"/>
            </w14:solidFill>
          </w14:textFill>
        </w:rPr>
        <w:t>单位</w:t>
      </w:r>
    </w:p>
    <w:p w14:paraId="354C764A">
      <w:pPr>
        <w:ind w:firstLine="640"/>
        <w:rPr>
          <w:rFonts w:eastAsia="仿宋_GB2312" w:cs="仿宋_GB2312"/>
          <w:szCs w:val="32"/>
          <w:lang w:val="en-US"/>
        </w:rPr>
      </w:pPr>
      <w:r>
        <w:rPr>
          <w:rFonts w:hint="eastAsia" w:eastAsia="仿宋_GB2312" w:cs="仿宋_GB2312"/>
          <w:szCs w:val="32"/>
          <w:lang w:val="en-US"/>
        </w:rPr>
        <w:t>中国石油天然气股份有限公司勘探开发研究院、多资源协同陆相页岩油绿色开采全国重点实验室</w:t>
      </w:r>
    </w:p>
    <w:p w14:paraId="5162CD5F">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w:t>
      </w:r>
      <w:r>
        <w:rPr>
          <w:rFonts w:ascii="Times New Roman" w:hAnsi="Times New Roman" w:eastAsia="黑体" w:cs="黑体"/>
          <w:color w:val="000000" w:themeColor="text1"/>
          <w:lang w:val="en-US"/>
          <w14:textFill>
            <w14:solidFill>
              <w14:schemeClr w14:val="tx1"/>
            </w14:solidFill>
          </w14:textFill>
        </w:rPr>
        <w:t>题目名称</w:t>
      </w:r>
    </w:p>
    <w:p w14:paraId="566DA335">
      <w:pPr>
        <w:ind w:firstLine="640"/>
        <w:rPr>
          <w:rFonts w:eastAsia="仿宋_GB2312" w:cs="仿宋_GB2312"/>
          <w:szCs w:val="32"/>
          <w:lang w:val="en-US"/>
        </w:rPr>
      </w:pPr>
      <w:r>
        <w:rPr>
          <w:rFonts w:hint="eastAsia" w:eastAsia="仿宋_GB2312" w:cs="仿宋_GB2312"/>
          <w:szCs w:val="32"/>
          <w:lang w:val="en-US"/>
        </w:rPr>
        <w:t>陆相页岩油绿色开采和碳埋存协同方法研究</w:t>
      </w:r>
    </w:p>
    <w:p w14:paraId="471AFF18">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三、题目内容</w:t>
      </w:r>
    </w:p>
    <w:p w14:paraId="71B92990">
      <w:pPr>
        <w:ind w:firstLine="640"/>
        <w:rPr>
          <w:rFonts w:eastAsia="仿宋_GB2312" w:cs="仿宋_GB2312"/>
          <w:szCs w:val="32"/>
          <w:lang w:val="en-US"/>
        </w:rPr>
      </w:pPr>
      <w:r>
        <w:rPr>
          <w:rFonts w:hint="eastAsia" w:eastAsia="仿宋_GB2312" w:cs="仿宋_GB2312"/>
          <w:szCs w:val="32"/>
          <w:lang w:val="en-US"/>
        </w:rPr>
        <w:t>陆相页岩油是我国最重要的陆上石油接替资源，在“双碳”目标下，如何实现陆相页岩的绿色开采，并通过注入二氧化碳提高页岩油采收率和开展碳埋存，是支撑我国陆相页岩油革命的重要课题。</w:t>
      </w:r>
    </w:p>
    <w:p w14:paraId="677C5E17">
      <w:pPr>
        <w:ind w:firstLine="640"/>
        <w:rPr>
          <w:rFonts w:eastAsia="仿宋_GB2312" w:cs="仿宋_GB2312"/>
          <w:szCs w:val="32"/>
          <w:lang w:val="en-US"/>
        </w:rPr>
      </w:pPr>
      <w:r>
        <w:rPr>
          <w:rFonts w:hint="eastAsia" w:eastAsia="仿宋_GB2312" w:cs="仿宋_GB2312"/>
          <w:szCs w:val="32"/>
          <w:lang w:val="en-US"/>
        </w:rPr>
        <w:t>页岩油目前主要开发方式是水平井加大规模水力压裂，这种开采方式支撑了北美海相页岩油革命，而实现陆相页岩油革命，陆相页岩油绿色开采和碳埋存协同是必经之路，因此需要创造性的开采方式和方法。针对陆相页岩油绿色开采过程中的各个环节，高效和高比例利用清洁能源和协同二氧化碳埋存，从新思路、新设计、新方案入手，开展具体的系统方案研究。请选择以下内容中一项或多项，并鼓励突破以下内容限制，开拓性创造性地设计陆相页岩油绿色开采方案：</w:t>
      </w:r>
    </w:p>
    <w:p w14:paraId="29327E09">
      <w:pPr>
        <w:ind w:firstLine="640"/>
        <w:rPr>
          <w:rFonts w:eastAsia="仿宋_GB2312" w:cs="仿宋_GB2312"/>
          <w:szCs w:val="32"/>
          <w:lang w:val="en-US"/>
        </w:rPr>
      </w:pPr>
      <w:r>
        <w:rPr>
          <w:rFonts w:hint="eastAsia" w:eastAsia="仿宋_GB2312" w:cs="仿宋_GB2312"/>
          <w:szCs w:val="32"/>
          <w:lang w:val="en-US"/>
        </w:rPr>
        <w:t>1. 研究风能、光能、地热能在陆相页岩油开发不同阶段中的最大化利用方案；</w:t>
      </w:r>
    </w:p>
    <w:p w14:paraId="1119E568">
      <w:pPr>
        <w:ind w:firstLine="640"/>
        <w:rPr>
          <w:rFonts w:eastAsia="仿宋_GB2312" w:cs="仿宋_GB2312"/>
          <w:szCs w:val="32"/>
          <w:lang w:val="en-US"/>
        </w:rPr>
      </w:pPr>
      <w:r>
        <w:rPr>
          <w:rFonts w:hint="eastAsia" w:eastAsia="仿宋_GB2312" w:cs="仿宋_GB2312"/>
          <w:szCs w:val="32"/>
          <w:lang w:val="en-US"/>
        </w:rPr>
        <w:t>2. 研究二氧化碳在陆相页岩中的驱油与封存方案，最大限度提高驱油和碳埋存效率；</w:t>
      </w:r>
    </w:p>
    <w:p w14:paraId="29827ADC">
      <w:pPr>
        <w:ind w:firstLine="640"/>
        <w:rPr>
          <w:rFonts w:eastAsia="仿宋_GB2312" w:cs="仿宋_GB2312"/>
          <w:szCs w:val="32"/>
          <w:lang w:val="en-US"/>
        </w:rPr>
      </w:pPr>
      <w:r>
        <w:rPr>
          <w:rFonts w:hint="eastAsia" w:eastAsia="仿宋_GB2312" w:cs="仿宋_GB2312"/>
          <w:szCs w:val="32"/>
          <w:lang w:val="en-US"/>
        </w:rPr>
        <w:t>3. 经济效益和环境效益统一最优化控制下的陆相页岩油绿色开采和协同碳埋存算法。</w:t>
      </w:r>
    </w:p>
    <w:p w14:paraId="0DB0069E">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四、参赛对象</w:t>
      </w:r>
    </w:p>
    <w:p w14:paraId="34FA93D2">
      <w:pPr>
        <w:ind w:firstLine="640"/>
        <w:rPr>
          <w:rFonts w:eastAsia="仿宋_GB2312" w:cs="仿宋_GB2312"/>
          <w:szCs w:val="32"/>
          <w:lang w:val="en-US"/>
        </w:rPr>
      </w:pPr>
      <w:r>
        <w:rPr>
          <w:rFonts w:hint="eastAsia" w:eastAsia="仿宋_GB2312" w:cs="仿宋_GB231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C05B084">
      <w:pPr>
        <w:ind w:firstLine="640"/>
        <w:rPr>
          <w:rFonts w:eastAsia="仿宋_GB2312" w:cs="仿宋_GB2312"/>
          <w:szCs w:val="32"/>
          <w:lang w:val="en-US"/>
        </w:rPr>
      </w:pPr>
      <w:r>
        <w:rPr>
          <w:rFonts w:hint="eastAsia" w:eastAsia="仿宋_GB2312" w:cs="仿宋_GB231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51516788">
      <w:pPr>
        <w:ind w:firstLine="640"/>
        <w:rPr>
          <w:rFonts w:eastAsia="仿宋_GB2312" w:cs="仿宋_GB2312"/>
          <w:szCs w:val="32"/>
          <w:lang w:val="en-US"/>
        </w:rPr>
      </w:pPr>
      <w:r>
        <w:rPr>
          <w:rFonts w:hint="eastAsia" w:eastAsia="仿宋_GB2312" w:cs="仿宋_GB2312"/>
          <w:szCs w:val="32"/>
          <w:lang w:val="en-US"/>
        </w:rPr>
        <w:t>毕业设计和课程设计（论文）、学年论文和学位论文、国际竞赛中获奖的作品、获国家级奖励成果（含本竞赛主办单位参与举办的其他全国性竞赛的获奖作品）等均不在申报范围之列。</w:t>
      </w:r>
    </w:p>
    <w:p w14:paraId="3AFDB35C">
      <w:pPr>
        <w:ind w:firstLine="640"/>
        <w:rPr>
          <w:rFonts w:eastAsia="仿宋_GB2312" w:cs="仿宋_GB2312"/>
          <w:szCs w:val="32"/>
          <w:lang w:val="en-US"/>
        </w:rPr>
      </w:pPr>
      <w:r>
        <w:rPr>
          <w:rFonts w:hint="eastAsia" w:eastAsia="仿宋_GB2312" w:cs="仿宋_GB2312"/>
          <w:szCs w:val="32"/>
          <w:lang w:val="en-US"/>
        </w:rPr>
        <w:t>每件作品仅可由1个学院推报，学院在推报前要对参赛团队成员及作品进行相关资格审查。</w:t>
      </w:r>
    </w:p>
    <w:p w14:paraId="31D699ED">
      <w:pPr>
        <w:ind w:firstLine="640"/>
        <w:rPr>
          <w:rFonts w:eastAsia="仿宋_GB2312" w:cs="仿宋_GB2312"/>
          <w:szCs w:val="32"/>
          <w:lang w:val="en-US"/>
        </w:rPr>
      </w:pPr>
      <w:r>
        <w:rPr>
          <w:rFonts w:hint="eastAsia" w:eastAsia="仿宋_GB2312" w:cs="仿宋_GB231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Cs w:val="28"/>
          <w:shd w:val="clear" w:color="auto" w:fill="FFFFFF"/>
          <w:lang w:bidi="ar"/>
        </w:rPr>
        <w:t>大学生创业计划竞赛</w:t>
      </w:r>
      <w:r>
        <w:rPr>
          <w:rFonts w:hint="eastAsia" w:eastAsia="仿宋_GB2312" w:cs="仿宋_GB2312"/>
          <w:szCs w:val="32"/>
          <w:lang w:val="en-US"/>
        </w:rPr>
        <w:t>。已参加第十九届“挑战杯”全国大学生课外学术科技作品竞赛2024年度“揭榜挂帅”专项赛的作品可以继续参加第二十四届“创新杯”揭榜挂帅专项赛。</w:t>
      </w:r>
    </w:p>
    <w:p w14:paraId="10DBFA35">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621A8650">
      <w:pPr>
        <w:ind w:firstLine="640"/>
        <w:jc w:val="both"/>
        <w:rPr>
          <w:rFonts w:eastAsia="仿宋_GB2312" w:cs="仿宋_GB2312"/>
          <w:szCs w:val="32"/>
          <w:lang w:val="en-US"/>
        </w:rPr>
      </w:pPr>
      <w:r>
        <w:rPr>
          <w:rFonts w:hint="eastAsia" w:eastAsia="仿宋_GB2312" w:cs="仿宋_GB2312"/>
          <w:szCs w:val="32"/>
          <w:lang w:val="en-US"/>
        </w:rPr>
        <w:t>根据选题情况作品主要涵盖以下要求：</w:t>
      </w:r>
    </w:p>
    <w:p w14:paraId="2E9F9AB5">
      <w:pPr>
        <w:ind w:firstLine="640"/>
        <w:jc w:val="both"/>
        <w:rPr>
          <w:rFonts w:eastAsia="仿宋_GB2312" w:cs="仿宋_GB2312"/>
          <w:szCs w:val="32"/>
          <w:lang w:val="en-US"/>
        </w:rPr>
      </w:pPr>
      <w:r>
        <w:rPr>
          <w:rFonts w:eastAsia="仿宋_GB2312" w:cs="仿宋_GB2312"/>
          <w:szCs w:val="32"/>
          <w:lang w:val="en-US"/>
        </w:rPr>
        <w:t>1.</w:t>
      </w:r>
      <w:r>
        <w:rPr>
          <w:rFonts w:hint="eastAsia" w:eastAsia="仿宋_GB2312" w:cs="仿宋_GB2312"/>
          <w:szCs w:val="32"/>
          <w:lang w:val="en-US"/>
        </w:rPr>
        <w:t>形成陆相页岩油不同开采阶段清洁能源和碳埋存协同设计方案和思路；</w:t>
      </w:r>
    </w:p>
    <w:p w14:paraId="3BFEDDF5">
      <w:pPr>
        <w:ind w:firstLine="640"/>
        <w:jc w:val="both"/>
        <w:rPr>
          <w:rFonts w:eastAsia="仿宋_GB2312" w:cs="仿宋_GB2312"/>
          <w:szCs w:val="32"/>
          <w:lang w:val="en-US"/>
        </w:rPr>
      </w:pPr>
      <w:r>
        <w:rPr>
          <w:rFonts w:eastAsia="仿宋_GB2312" w:cs="仿宋_GB2312"/>
          <w:szCs w:val="32"/>
          <w:lang w:val="en-US"/>
        </w:rPr>
        <w:t>2.</w:t>
      </w:r>
      <w:r>
        <w:rPr>
          <w:rFonts w:hint="eastAsia" w:eastAsia="仿宋_GB2312" w:cs="仿宋_GB2312"/>
          <w:szCs w:val="32"/>
          <w:lang w:val="en-US"/>
        </w:rPr>
        <w:t>提交陆相页岩油开发经济效益和环境效益统一最优化算法和软件；</w:t>
      </w:r>
    </w:p>
    <w:p w14:paraId="3B95CF6E">
      <w:pPr>
        <w:ind w:firstLine="640"/>
        <w:jc w:val="both"/>
        <w:rPr>
          <w:rFonts w:eastAsia="仿宋_GB2312" w:cs="仿宋_GB2312"/>
          <w:szCs w:val="32"/>
          <w:lang w:val="en-US"/>
        </w:rPr>
      </w:pPr>
      <w:r>
        <w:rPr>
          <w:rFonts w:eastAsia="仿宋_GB2312" w:cs="仿宋_GB2312"/>
          <w:szCs w:val="32"/>
          <w:lang w:val="en-US"/>
        </w:rPr>
        <w:t>3.</w:t>
      </w:r>
      <w:r>
        <w:rPr>
          <w:rFonts w:hint="eastAsia" w:eastAsia="仿宋_GB2312" w:cs="仿宋_GB2312"/>
          <w:szCs w:val="32"/>
          <w:lang w:val="en-US"/>
        </w:rPr>
        <w:t>完成陆相页岩油绿色开发方案研究报告和建议；</w:t>
      </w:r>
    </w:p>
    <w:p w14:paraId="7D43771D">
      <w:pPr>
        <w:ind w:firstLine="640"/>
        <w:jc w:val="both"/>
        <w:rPr>
          <w:rFonts w:eastAsia="仿宋_GB2312" w:cs="仿宋_GB2312"/>
          <w:szCs w:val="32"/>
          <w:lang w:val="en-US"/>
        </w:rPr>
      </w:pPr>
      <w:r>
        <w:rPr>
          <w:rFonts w:eastAsia="仿宋_GB2312" w:cs="仿宋_GB2312"/>
          <w:szCs w:val="32"/>
          <w:lang w:val="en-US"/>
        </w:rPr>
        <w:t>4.</w:t>
      </w:r>
      <w:r>
        <w:rPr>
          <w:rFonts w:hint="eastAsia" w:eastAsia="仿宋_GB2312" w:cs="仿宋_GB2312"/>
          <w:szCs w:val="32"/>
          <w:lang w:val="en-US"/>
        </w:rPr>
        <w:t>根据大赛整体时间安排并结合科研攻关的科学规律，8月9日中午12:00前，各参赛团队提交作品。</w:t>
      </w:r>
    </w:p>
    <w:p w14:paraId="203D90AB">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74E3B0C8">
      <w:pPr>
        <w:ind w:firstLine="640"/>
        <w:jc w:val="both"/>
        <w:rPr>
          <w:rFonts w:eastAsia="仿宋_GB2312" w:cs="仿宋_GB2312"/>
          <w:szCs w:val="32"/>
          <w:lang w:val="en-US"/>
        </w:rPr>
      </w:pPr>
      <w:r>
        <w:rPr>
          <w:rFonts w:eastAsia="仿宋_GB2312" w:cs="仿宋_GB2312"/>
          <w:szCs w:val="32"/>
          <w:lang w:val="en-US"/>
        </w:rPr>
        <w:t>1．</w:t>
      </w:r>
      <w:r>
        <w:rPr>
          <w:rFonts w:hint="eastAsia" w:eastAsia="仿宋_GB2312" w:cs="仿宋_GB2312"/>
          <w:szCs w:val="32"/>
          <w:lang w:val="en-US"/>
        </w:rPr>
        <w:t>基本要求</w:t>
      </w:r>
    </w:p>
    <w:p w14:paraId="5E01DF7E">
      <w:pPr>
        <w:ind w:firstLine="640"/>
        <w:jc w:val="both"/>
        <w:rPr>
          <w:rFonts w:eastAsia="仿宋_GB2312" w:cs="仿宋_GB2312"/>
          <w:szCs w:val="32"/>
          <w:lang w:val="en-US"/>
        </w:rPr>
      </w:pPr>
      <w:r>
        <w:rPr>
          <w:rFonts w:hint="eastAsia" w:eastAsia="仿宋_GB2312" w:cs="仿宋_GB2312"/>
          <w:szCs w:val="32"/>
          <w:lang w:val="en-US"/>
        </w:rPr>
        <w:t>（1）发展现状调研清晰，研究思路合理，技术路线可行；</w:t>
      </w:r>
    </w:p>
    <w:p w14:paraId="08E7C1EA">
      <w:pPr>
        <w:ind w:firstLine="640"/>
        <w:jc w:val="both"/>
        <w:rPr>
          <w:rFonts w:eastAsia="仿宋_GB2312" w:cs="仿宋_GB2312"/>
          <w:szCs w:val="32"/>
          <w:lang w:val="en-US"/>
        </w:rPr>
      </w:pPr>
      <w:r>
        <w:rPr>
          <w:rFonts w:hint="eastAsia" w:eastAsia="仿宋_GB2312" w:cs="仿宋_GB2312"/>
          <w:szCs w:val="32"/>
          <w:lang w:val="en-US"/>
        </w:rPr>
        <w:t>（2）作品具有完整性，涵盖题目中的一项或多项内容；</w:t>
      </w:r>
    </w:p>
    <w:p w14:paraId="3E06D904">
      <w:pPr>
        <w:ind w:firstLine="640"/>
        <w:jc w:val="both"/>
        <w:rPr>
          <w:rFonts w:eastAsia="仿宋_GB2312" w:cs="仿宋_GB2312"/>
          <w:szCs w:val="32"/>
          <w:lang w:val="en-US"/>
        </w:rPr>
      </w:pPr>
      <w:r>
        <w:rPr>
          <w:rFonts w:hint="eastAsia" w:eastAsia="仿宋_GB2312" w:cs="仿宋_GB2312"/>
          <w:szCs w:val="32"/>
          <w:lang w:val="en-US"/>
        </w:rPr>
        <w:t>（3）文档、PPT等展示材料内容齐全、页面整洁、图标清晰、公式准确。</w:t>
      </w:r>
    </w:p>
    <w:p w14:paraId="27C05256">
      <w:pPr>
        <w:ind w:firstLine="640"/>
        <w:jc w:val="both"/>
        <w:rPr>
          <w:rFonts w:eastAsia="仿宋_GB2312" w:cs="仿宋_GB2312"/>
          <w:szCs w:val="32"/>
          <w:lang w:val="en-US"/>
        </w:rPr>
      </w:pPr>
      <w:r>
        <w:rPr>
          <w:rFonts w:eastAsia="仿宋_GB2312" w:cs="仿宋_GB2312"/>
          <w:szCs w:val="32"/>
          <w:lang w:val="en-US"/>
        </w:rPr>
        <w:t>2．</w:t>
      </w:r>
      <w:r>
        <w:rPr>
          <w:rFonts w:hint="eastAsia" w:eastAsia="仿宋_GB2312" w:cs="仿宋_GB2312"/>
          <w:szCs w:val="32"/>
          <w:lang w:val="en-US"/>
        </w:rPr>
        <w:t>优选要求</w:t>
      </w:r>
    </w:p>
    <w:p w14:paraId="18236597">
      <w:pPr>
        <w:ind w:firstLine="640"/>
        <w:jc w:val="both"/>
        <w:rPr>
          <w:rFonts w:eastAsia="仿宋_GB2312" w:cs="仿宋_GB2312"/>
          <w:szCs w:val="32"/>
          <w:lang w:val="en-US"/>
        </w:rPr>
      </w:pPr>
      <w:r>
        <w:rPr>
          <w:rFonts w:hint="eastAsia" w:eastAsia="仿宋_GB2312" w:cs="仿宋_GB2312"/>
          <w:szCs w:val="32"/>
          <w:lang w:val="en-US"/>
        </w:rPr>
        <w:t>（1）为陆相页岩油绿色开采和碳埋存协同方法研究提供创新性认识；</w:t>
      </w:r>
    </w:p>
    <w:p w14:paraId="20FD1C1D">
      <w:pPr>
        <w:ind w:firstLine="640"/>
        <w:jc w:val="both"/>
        <w:rPr>
          <w:rFonts w:eastAsia="仿宋_GB2312" w:cs="仿宋_GB2312"/>
          <w:szCs w:val="32"/>
          <w:lang w:val="en-US"/>
        </w:rPr>
      </w:pPr>
      <w:r>
        <w:rPr>
          <w:rFonts w:hint="eastAsia" w:eastAsia="仿宋_GB2312" w:cs="仿宋_GB2312"/>
          <w:szCs w:val="32"/>
          <w:lang w:val="en-US"/>
        </w:rPr>
        <w:t>（2）在页岩油开发、清洁能源协同利用或二氧化碳埋存等方面相比具有一定优势；</w:t>
      </w:r>
    </w:p>
    <w:p w14:paraId="292C383D">
      <w:pPr>
        <w:ind w:firstLine="640"/>
        <w:jc w:val="both"/>
        <w:rPr>
          <w:rFonts w:eastAsia="仿宋_GB2312" w:cs="仿宋_GB2312"/>
          <w:szCs w:val="32"/>
          <w:lang w:val="en-US"/>
        </w:rPr>
      </w:pPr>
      <w:r>
        <w:rPr>
          <w:rFonts w:hint="eastAsia" w:eastAsia="仿宋_GB2312" w:cs="仿宋_GB2312"/>
          <w:szCs w:val="32"/>
          <w:lang w:val="en-US"/>
        </w:rPr>
        <w:t>（3）设计方案清晰，程序可运行，可拓展性强；</w:t>
      </w:r>
    </w:p>
    <w:p w14:paraId="20763C60">
      <w:pPr>
        <w:ind w:firstLine="640"/>
        <w:jc w:val="both"/>
        <w:rPr>
          <w:rFonts w:eastAsia="仿宋_GB2312" w:cs="仿宋_GB2312"/>
          <w:szCs w:val="32"/>
          <w:lang w:val="en-US"/>
        </w:rPr>
      </w:pPr>
      <w:r>
        <w:rPr>
          <w:rFonts w:hint="eastAsia" w:eastAsia="仿宋_GB2312" w:cs="仿宋_GB2312"/>
          <w:szCs w:val="32"/>
          <w:lang w:val="en-US"/>
        </w:rPr>
        <w:t>（4）研究成果有望投入实践应用。</w:t>
      </w:r>
    </w:p>
    <w:p w14:paraId="72F6FBE6">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r>
        <w:rPr>
          <w:rFonts w:hint="eastAsia" w:ascii="Times New Roman" w:hAnsi="Times New Roman" w:eastAsia="黑体" w:cs="黑体"/>
          <w:color w:val="000000" w:themeColor="text1"/>
          <w:lang w:val="en-US"/>
          <w14:textFill>
            <w14:solidFill>
              <w14:schemeClr w14:val="tx1"/>
            </w14:solidFill>
          </w14:textFill>
        </w:rPr>
        <w:tab/>
      </w:r>
    </w:p>
    <w:p w14:paraId="50C1B2CF">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5CD83AEE">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9"/>
          <w:rFonts w:eastAsia="仿宋_GB2312" w:cs="仿宋_GB2312"/>
          <w:sz w:val="32"/>
          <w:szCs w:val="32"/>
          <w:lang w:val="en-US"/>
        </w:rPr>
        <w:t>wutxskx</w:t>
      </w:r>
      <w:bookmarkStart w:id="0" w:name="_GoBack"/>
      <w:bookmarkEnd w:id="0"/>
      <w:r>
        <w:rPr>
          <w:rStyle w:val="19"/>
          <w:rFonts w:eastAsia="仿宋_GB2312" w:cs="仿宋_GB2312"/>
          <w:sz w:val="32"/>
          <w:szCs w:val="32"/>
          <w:lang w:val="en-US"/>
        </w:rPr>
        <w:t>@163.com。</w:t>
      </w:r>
      <w:r>
        <w:rPr>
          <w:rStyle w:val="19"/>
          <w:rFonts w:eastAsia="仿宋_GB2312" w:cs="仿宋_GB2312"/>
          <w:sz w:val="32"/>
          <w:szCs w:val="32"/>
          <w:lang w:val="en-US"/>
        </w:rPr>
        <w:fldChar w:fldCharType="end"/>
      </w:r>
    </w:p>
    <w:p w14:paraId="41919FA0">
      <w:pPr>
        <w:spacing w:line="560" w:lineRule="exact"/>
        <w:ind w:firstLine="640" w:firstLineChars="200"/>
        <w:jc w:val="both"/>
        <w:rPr>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headerReference r:id="rId7" w:type="first"/>
      <w:footerReference r:id="rId10" w:type="first"/>
      <w:headerReference r:id="rId5" w:type="default"/>
      <w:footerReference r:id="rId8" w:type="default"/>
      <w:headerReference r:id="rId6" w:type="even"/>
      <w:footerReference r:id="rId9" w:type="even"/>
      <w:pgSz w:w="11906" w:h="16838"/>
      <w:pgMar w:top="1984" w:right="1587" w:bottom="1984" w:left="1587"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script"/>
    <w:pitch w:val="default"/>
    <w:sig w:usb0="00000000" w:usb1="00000000" w:usb2="00082016" w:usb3="00000000" w:csb0="00040001" w:csb1="00000000"/>
  </w:font>
  <w:font w:name="方正黑体_GBK">
    <w:altName w:val="微软雅黑"/>
    <w:panose1 w:val="00000000000000000000"/>
    <w:charset w:val="86"/>
    <w:family w:val="script"/>
    <w:pitch w:val="default"/>
    <w:sig w:usb0="00000000" w:usb1="00000000" w:usb2="00082016" w:usb3="00000000" w:csb0="00040001" w:csb1="00000000"/>
  </w:font>
  <w:font w:name="方正楷体_GBK">
    <w:altName w:val="微软雅黑"/>
    <w:panose1 w:val="00000000000000000000"/>
    <w:charset w:val="86"/>
    <w:family w:val="script"/>
    <w:pitch w:val="default"/>
    <w:sig w:usb0="00000000" w:usb1="00000000" w:usb2="00082016" w:usb3="00000000" w:csb0="00040001" w:csb1="00000000"/>
  </w:font>
  <w:font w:name="方正楷体简体">
    <w:altName w:val="楷体_GB2312"/>
    <w:panose1 w:val="00000000000000000000"/>
    <w:charset w:val="86"/>
    <w:family w:val="script"/>
    <w:pitch w:val="default"/>
    <w:sig w:usb0="00000000" w:usb1="00000000" w:usb2="00000012" w:usb3="00000000" w:csb0="00040001"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790EB">
    <w:pPr>
      <w:pStyle w:val="11"/>
      <w:ind w:firstLine="480"/>
      <w:jc w:val="center"/>
      <w:rPr>
        <w:rFonts w:ascii="Times New Roman" w:hAnsi="Times New Roman" w:cs="Times New Roman"/>
        <w:sz w:val="24"/>
        <w:szCs w:val="24"/>
      </w:rPr>
    </w:pPr>
    <w:r>
      <w:rPr>
        <w:sz w:val="24"/>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E4F0FB8">
                          <w:pPr>
                            <w:pStyle w:val="11"/>
                            <w:ind w:firstLine="360"/>
                            <w:rPr>
                              <w:rFonts w:hint="eastAsia"/>
                            </w:rPr>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14:paraId="2E4F0FB8">
                    <w:pPr>
                      <w:pStyle w:val="11"/>
                      <w:ind w:firstLine="360"/>
                      <w:rPr>
                        <w:rFonts w:hint="eastAsia"/>
                      </w:rPr>
                    </w:pPr>
                    <w:r>
                      <w:fldChar w:fldCharType="begin"/>
                    </w:r>
                    <w:r>
                      <w:instrText xml:space="preserve"> PAGE  \* MERGEFORMAT </w:instrText>
                    </w:r>
                    <w:r>
                      <w:fldChar w:fldCharType="separate"/>
                    </w:r>
                    <w:r>
                      <w:t>1</w:t>
                    </w:r>
                    <w:r>
                      <w:fldChar w:fldCharType="end"/>
                    </w:r>
                  </w:p>
                </w:txbxContent>
              </v:textbox>
            </v:rect>
          </w:pict>
        </mc:Fallback>
      </mc:AlternateContent>
    </w:r>
  </w:p>
  <w:p w14:paraId="0B0F6124">
    <w:pPr>
      <w:pStyle w:val="11"/>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82653">
    <w:pPr>
      <w:pStyle w:val="11"/>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E8E6B">
    <w:pPr>
      <w:pStyle w:val="11"/>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895E6">
    <w:pPr>
      <w:pStyle w:val="12"/>
      <w:pBdr>
        <w:bottom w:val="none" w:color="auto" w:sz="0" w:space="1"/>
      </w:pBdr>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2B2B5">
    <w:pPr>
      <w:pStyle w:val="12"/>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05463">
    <w:pPr>
      <w:pStyle w:val="12"/>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240" w:firstLine="400"/>
      </w:pPr>
      <w:rPr>
        <w:rFonts w:hint="default" w:ascii="Times New Roman" w:hAnsi="Times New Roman" w:cs="Times New Roman"/>
        <w:sz w:val="32"/>
        <w:szCs w:val="32"/>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1A72BD"/>
    <w:rsid w:val="001A72BD"/>
    <w:rsid w:val="0072472E"/>
    <w:rsid w:val="00743BB9"/>
    <w:rsid w:val="00B935A9"/>
    <w:rsid w:val="1AF66E30"/>
    <w:rsid w:val="44952500"/>
    <w:rsid w:val="46D72EFF"/>
    <w:rsid w:val="4C850F5B"/>
    <w:rsid w:val="589258FF"/>
    <w:rsid w:val="59A3563A"/>
    <w:rsid w:val="67EC6F97"/>
    <w:rsid w:val="71DF79BA"/>
    <w:rsid w:val="778640A8"/>
    <w:rsid w:val="77CD4534"/>
    <w:rsid w:val="7CB84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883" w:firstLineChars="200"/>
    </w:pPr>
    <w:rPr>
      <w:rFonts w:ascii="Times New Roman" w:hAnsi="Times New Roman" w:eastAsia="方正仿宋_GBK" w:cs="Times New Roman"/>
      <w:sz w:val="32"/>
      <w:szCs w:val="24"/>
      <w:lang w:val="en-GB" w:eastAsia="zh-CN" w:bidi="ar-SA"/>
    </w:rPr>
  </w:style>
  <w:style w:type="paragraph" w:styleId="2">
    <w:name w:val="heading 1"/>
    <w:basedOn w:val="1"/>
    <w:next w:val="1"/>
    <w:autoRedefine/>
    <w:qFormat/>
    <w:uiPriority w:val="9"/>
    <w:pPr>
      <w:numPr>
        <w:ilvl w:val="0"/>
        <w:numId w:val="1"/>
      </w:numPr>
      <w:ind w:firstLine="883"/>
      <w:outlineLvl w:val="0"/>
    </w:pPr>
    <w:rPr>
      <w:rFonts w:hint="eastAsia" w:ascii="宋体" w:hAnsi="宋体" w:eastAsia="方正黑体_GBK"/>
      <w:b/>
      <w:bCs/>
      <w:kern w:val="36"/>
      <w:szCs w:val="48"/>
      <w:lang w:val="en-US"/>
    </w:rPr>
  </w:style>
  <w:style w:type="paragraph" w:styleId="3">
    <w:name w:val="heading 2"/>
    <w:basedOn w:val="1"/>
    <w:next w:val="1"/>
    <w:autoRedefine/>
    <w:qFormat/>
    <w:uiPriority w:val="9"/>
    <w:pPr>
      <w:keepNext/>
      <w:keepLines/>
      <w:numPr>
        <w:ilvl w:val="1"/>
        <w:numId w:val="1"/>
      </w:numPr>
      <w:ind w:firstLineChars="0"/>
      <w:outlineLvl w:val="1"/>
    </w:pPr>
    <w:rPr>
      <w:rFonts w:ascii="方正楷体_GBK" w:hAnsi="方正楷体_GBK" w:eastAsia="方正楷体_GBK"/>
      <w:szCs w:val="22"/>
    </w:rPr>
  </w:style>
  <w:style w:type="paragraph" w:styleId="4">
    <w:name w:val="heading 3"/>
    <w:basedOn w:val="1"/>
    <w:next w:val="1"/>
    <w:link w:val="25"/>
    <w:autoRedefine/>
    <w:qFormat/>
    <w:uiPriority w:val="9"/>
    <w:pPr>
      <w:keepNext/>
      <w:keepLines/>
      <w:numPr>
        <w:ilvl w:val="2"/>
        <w:numId w:val="1"/>
      </w:numPr>
      <w:tabs>
        <w:tab w:val="left" w:pos="0"/>
      </w:tabs>
      <w:ind w:left="0" w:firstLine="0" w:firstLineChars="0"/>
      <w:outlineLvl w:val="2"/>
    </w:pPr>
    <w:rPr>
      <w:rFonts w:ascii="方正楷体简体" w:hAnsi="方正楷体简体" w:eastAsia="方正楷体_GBK"/>
    </w:rPr>
  </w:style>
  <w:style w:type="paragraph" w:styleId="5">
    <w:name w:val="heading 4"/>
    <w:basedOn w:val="1"/>
    <w:next w:val="1"/>
    <w:autoRedefine/>
    <w:qFormat/>
    <w:uiPriority w:val="9"/>
    <w:pPr>
      <w:keepNext/>
      <w:keepLines/>
      <w:numPr>
        <w:ilvl w:val="3"/>
        <w:numId w:val="1"/>
      </w:numPr>
      <w:spacing w:before="280" w:after="290" w:line="372" w:lineRule="auto"/>
      <w:ind w:firstLine="0" w:firstLineChars="0"/>
      <w:outlineLvl w:val="3"/>
    </w:pPr>
    <w:rPr>
      <w:rFonts w:ascii="Arial" w:hAnsi="Arial" w:eastAsia="黑体"/>
      <w:b/>
      <w:sz w:val="28"/>
    </w:rPr>
  </w:style>
  <w:style w:type="paragraph" w:styleId="6">
    <w:name w:val="heading 5"/>
    <w:basedOn w:val="1"/>
    <w:next w:val="1"/>
    <w:autoRedefine/>
    <w:qFormat/>
    <w:uiPriority w:val="9"/>
    <w:pPr>
      <w:keepNext/>
      <w:keepLines/>
      <w:numPr>
        <w:ilvl w:val="4"/>
        <w:numId w:val="1"/>
      </w:numPr>
      <w:spacing w:before="280" w:after="290" w:line="372" w:lineRule="auto"/>
      <w:ind w:firstLine="0" w:firstLineChars="0"/>
      <w:outlineLvl w:val="4"/>
    </w:pPr>
    <w:rPr>
      <w:b/>
      <w:sz w:val="28"/>
    </w:rPr>
  </w:style>
  <w:style w:type="paragraph" w:styleId="7">
    <w:name w:val="heading 6"/>
    <w:basedOn w:val="1"/>
    <w:next w:val="1"/>
    <w:autoRedefine/>
    <w:qFormat/>
    <w:uiPriority w:val="9"/>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8">
    <w:name w:val="heading 7"/>
    <w:basedOn w:val="1"/>
    <w:next w:val="1"/>
    <w:autoRedefine/>
    <w:qFormat/>
    <w:uiPriority w:val="9"/>
    <w:pPr>
      <w:keepNext/>
      <w:keepLines/>
      <w:numPr>
        <w:ilvl w:val="6"/>
        <w:numId w:val="1"/>
      </w:numPr>
      <w:spacing w:before="240" w:after="64" w:line="317" w:lineRule="auto"/>
      <w:ind w:firstLine="0" w:firstLineChars="0"/>
      <w:outlineLvl w:val="6"/>
    </w:pPr>
    <w:rPr>
      <w:b/>
      <w:sz w:val="24"/>
    </w:rPr>
  </w:style>
  <w:style w:type="paragraph" w:styleId="9">
    <w:name w:val="heading 8"/>
    <w:basedOn w:val="1"/>
    <w:next w:val="1"/>
    <w:autoRedefine/>
    <w:qFormat/>
    <w:uiPriority w:val="9"/>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0">
    <w:name w:val="heading 9"/>
    <w:basedOn w:val="1"/>
    <w:next w:val="1"/>
    <w:autoRedefine/>
    <w:qFormat/>
    <w:uiPriority w:val="9"/>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21"/>
    <w:autoRedefine/>
    <w:qFormat/>
    <w:uiPriority w:val="99"/>
    <w:pPr>
      <w:widowControl w:val="0"/>
      <w:tabs>
        <w:tab w:val="center" w:pos="4153"/>
        <w:tab w:val="right" w:pos="8306"/>
      </w:tabs>
      <w:snapToGrid w:val="0"/>
    </w:pPr>
    <w:rPr>
      <w:rFonts w:ascii="等线" w:hAnsi="等线" w:eastAsia="等线" w:cs="宋体"/>
      <w:kern w:val="2"/>
      <w:sz w:val="18"/>
      <w:szCs w:val="18"/>
      <w:lang w:val="en-US"/>
    </w:rPr>
  </w:style>
  <w:style w:type="paragraph" w:styleId="12">
    <w:name w:val="header"/>
    <w:basedOn w:val="1"/>
    <w:link w:val="20"/>
    <w:autoRedefine/>
    <w:qFormat/>
    <w:uiPriority w:val="99"/>
    <w:pPr>
      <w:widowControl w:val="0"/>
      <w:pBdr>
        <w:bottom w:val="single" w:color="auto" w:sz="6" w:space="1"/>
      </w:pBdr>
      <w:tabs>
        <w:tab w:val="center" w:pos="4153"/>
        <w:tab w:val="right" w:pos="8306"/>
      </w:tabs>
      <w:snapToGrid w:val="0"/>
      <w:jc w:val="center"/>
    </w:pPr>
    <w:rPr>
      <w:rFonts w:ascii="等线" w:hAnsi="等线" w:eastAsia="等线" w:cs="宋体"/>
      <w:kern w:val="2"/>
      <w:sz w:val="18"/>
      <w:szCs w:val="18"/>
      <w:lang w:val="en-US"/>
    </w:rPr>
  </w:style>
  <w:style w:type="paragraph" w:styleId="13">
    <w:name w:val="Normal (Web)"/>
    <w:basedOn w:val="1"/>
    <w:autoRedefine/>
    <w:qFormat/>
    <w:uiPriority w:val="99"/>
    <w:pPr>
      <w:spacing w:before="100" w:beforeAutospacing="1" w:after="100" w:afterAutospacing="1"/>
    </w:pPr>
    <w:rPr>
      <w:rFonts w:ascii="宋体" w:hAnsi="宋体" w:eastAsia="宋体" w:cs="宋体"/>
    </w:rPr>
  </w:style>
  <w:style w:type="character" w:styleId="16">
    <w:name w:val="Strong"/>
    <w:autoRedefine/>
    <w:qFormat/>
    <w:uiPriority w:val="0"/>
    <w:rPr>
      <w:b/>
      <w:bCs/>
    </w:rPr>
  </w:style>
  <w:style w:type="character" w:styleId="17">
    <w:name w:val="FollowedHyperlink"/>
    <w:basedOn w:val="15"/>
    <w:autoRedefine/>
    <w:qFormat/>
    <w:uiPriority w:val="99"/>
    <w:rPr>
      <w:color w:val="954F72"/>
      <w:u w:val="single"/>
    </w:rPr>
  </w:style>
  <w:style w:type="character" w:styleId="18">
    <w:name w:val="Emphasis"/>
    <w:basedOn w:val="15"/>
    <w:autoRedefine/>
    <w:qFormat/>
    <w:uiPriority w:val="20"/>
    <w:rPr>
      <w:i/>
      <w:iCs/>
    </w:rPr>
  </w:style>
  <w:style w:type="character" w:styleId="19">
    <w:name w:val="Hyperlink"/>
    <w:basedOn w:val="15"/>
    <w:autoRedefine/>
    <w:qFormat/>
    <w:uiPriority w:val="99"/>
    <w:rPr>
      <w:color w:val="0563C1"/>
      <w:u w:val="single"/>
    </w:rPr>
  </w:style>
  <w:style w:type="character" w:customStyle="1" w:styleId="20">
    <w:name w:val="页眉 字符"/>
    <w:basedOn w:val="15"/>
    <w:link w:val="12"/>
    <w:autoRedefine/>
    <w:qFormat/>
    <w:uiPriority w:val="99"/>
    <w:rPr>
      <w:sz w:val="18"/>
      <w:szCs w:val="18"/>
    </w:rPr>
  </w:style>
  <w:style w:type="character" w:customStyle="1" w:styleId="21">
    <w:name w:val="页脚 字符"/>
    <w:basedOn w:val="15"/>
    <w:link w:val="11"/>
    <w:autoRedefine/>
    <w:qFormat/>
    <w:uiPriority w:val="99"/>
    <w:rPr>
      <w:sz w:val="18"/>
      <w:szCs w:val="18"/>
    </w:rPr>
  </w:style>
  <w:style w:type="character" w:customStyle="1" w:styleId="22">
    <w:name w:val="未处理的提及1"/>
    <w:basedOn w:val="15"/>
    <w:autoRedefine/>
    <w:qFormat/>
    <w:uiPriority w:val="99"/>
    <w:rPr>
      <w:color w:val="605E5C"/>
      <w:shd w:val="clear" w:color="auto" w:fill="E1DFDD"/>
    </w:rPr>
  </w:style>
  <w:style w:type="paragraph" w:customStyle="1" w:styleId="23">
    <w:name w:val="List Paragraph_9aa2f5c3-fdc6-444f-8c48-b915588ec50d"/>
    <w:basedOn w:val="1"/>
    <w:autoRedefine/>
    <w:qFormat/>
    <w:uiPriority w:val="34"/>
    <w:pPr>
      <w:ind w:firstLine="420"/>
    </w:pPr>
  </w:style>
  <w:style w:type="character" w:customStyle="1" w:styleId="24">
    <w:name w:val="未处理的提及2"/>
    <w:basedOn w:val="15"/>
    <w:autoRedefine/>
    <w:qFormat/>
    <w:uiPriority w:val="99"/>
    <w:rPr>
      <w:color w:val="605E5C"/>
      <w:shd w:val="clear" w:color="auto" w:fill="E1DFDD"/>
    </w:rPr>
  </w:style>
  <w:style w:type="character" w:customStyle="1" w:styleId="25">
    <w:name w:val="标题 3 字符"/>
    <w:link w:val="4"/>
    <w:autoRedefine/>
    <w:qFormat/>
    <w:uiPriority w:val="0"/>
    <w:rPr>
      <w:rFonts w:ascii="方正楷体简体" w:hAnsi="方正楷体简体" w:eastAsia="方正楷体_GBK"/>
      <w:sz w:val="32"/>
    </w:rPr>
  </w:style>
  <w:style w:type="table" w:customStyle="1" w:styleId="26">
    <w:name w:val="Table Normal"/>
    <w:autoRedefine/>
    <w:qFormat/>
    <w:uiPriority w:val="0"/>
    <w:tblPr>
      <w:tblCellMar>
        <w:top w:w="0" w:type="dxa"/>
        <w:left w:w="0" w:type="dxa"/>
        <w:bottom w:w="0" w:type="dxa"/>
        <w:right w:w="0" w:type="dxa"/>
      </w:tblCellMar>
    </w:tblPr>
  </w:style>
  <w:style w:type="character" w:customStyle="1" w:styleId="27">
    <w:name w:val="未处理的提及3"/>
    <w:basedOn w:val="15"/>
    <w:autoRedefine/>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1632</Words>
  <Characters>1693</Characters>
  <Lines>12</Lines>
  <Paragraphs>3</Paragraphs>
  <TotalTime>0</TotalTime>
  <ScaleCrop>false</ScaleCrop>
  <LinksUpToDate>false</LinksUpToDate>
  <CharactersWithSpaces>1697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2024-09-24T13:55:00Z</dcterms:created>
  <dc:creator>张 斌</dc:creator>
  <cp:lastModifiedBy>金阳</cp:lastModifiedBy>
  <cp:lastPrinted>2023-02-10T19:47:00Z</cp:lastPrinted>
  <dcterms:modified xsi:type="dcterms:W3CDTF">2024-09-25T09:10:42Z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5727F7CD7C1E403E9DB39F2BA13B1E4B</vt:lpwstr>
  </property>
</Properties>
</file>