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DDF3D">
      <w:pPr>
        <w:pStyle w:val="2"/>
        <w:spacing w:beforeAutospacing="0" w:afterAutospacing="0" w:line="560" w:lineRule="exact"/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</w:t>
      </w:r>
      <w:r>
        <w:rPr>
          <w:rFonts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40：</w:t>
      </w:r>
    </w:p>
    <w:p w14:paraId="55B802C3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可再生能源电解水制氢隔膜</w:t>
      </w: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比赛方案</w:t>
      </w:r>
    </w:p>
    <w:p w14:paraId="2A294FE2">
      <w:pPr>
        <w:jc w:val="center"/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（深圳市星源材质科技股份有限公司）</w:t>
      </w:r>
    </w:p>
    <w:p w14:paraId="157C0BA6">
      <w:pPr>
        <w:snapToGrid w:val="0"/>
        <w:spacing w:line="560" w:lineRule="exact"/>
        <w:jc w:val="both"/>
        <w:outlineLvl w:val="0"/>
        <w:rPr>
          <w:rFonts w:eastAsia="方正仿宋_GBK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</w:p>
    <w:p w14:paraId="6759942D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一、出题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单位</w:t>
      </w:r>
    </w:p>
    <w:p w14:paraId="140B0E36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深圳市星源材质科技股份有限公司</w:t>
      </w:r>
    </w:p>
    <w:p w14:paraId="222BFF3A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二、题目名称</w:t>
      </w:r>
    </w:p>
    <w:p w14:paraId="570006C1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可再生能源电解水制氢隔膜</w:t>
      </w:r>
    </w:p>
    <w:p w14:paraId="71AF23DA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三、题目介绍</w:t>
      </w:r>
    </w:p>
    <w:p w14:paraId="2C8E397E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氢能是实现我国双碳战略目标的重要途径，光伏、风电等可再生能源制氢在国际上也受到高度重视，电解水制氢技术作为关键技术成为竞争焦点。在目前所有的制氢技术中，碱水电解制氢（ALK）技术是目前发展最为成熟的制氢技术之一，最有望在近中期应用于工业上规模化制取绿氢；质子交换膜电解制氢（PEMWE）具有高安全性、高制氢效率、高便捷性的优势；第三代的阴离子膜电解水制氢（AEMWE）兼具二者优点，更具成本和效率优势。高分子隔膜在各种电解水制氢技术中均发挥重要作用，整个行业处于发展的初期黄金阶段，亟需从制氢性能、效率和技术成本方面研发高性能的隔膜并应用于电解设备中，推动规模化工业制氢技术的应用发展。</w:t>
      </w:r>
    </w:p>
    <w:p w14:paraId="60B1E2B6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ALK中普遍采用多孔隔膜，已有多种类型的商业品隔膜应用于碱水电解设备中，但高厚度导致离子传输阻力大、槽压和能耗高，大孔径和多孔结构导致气体交叉风险和气体纯度低等问题亟待解决。PEMWE中采用商业化的全氟磺酸膜，但高昂的成本限制其发展。AEMWE的核心材料是阴离子交换膜（AEM），该领域目前尚无成熟的商业品，均为一些初创公司发布的产品，实际应用效果有待下游验证。因此，针对不同的电解水制氢技术，都亟待开发性能优异、高效、长寿命的高分子隔膜。</w:t>
      </w:r>
    </w:p>
    <w:p w14:paraId="5EDD273D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四、参赛对象</w:t>
      </w:r>
    </w:p>
    <w:p w14:paraId="03B4313B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1C7DF290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1BF1116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00176173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每件作品仅可由1个学院推报，学院在推报前要对参赛团队成员及作品进行相关资格审查。</w:t>
      </w:r>
    </w:p>
    <w:p w14:paraId="0C4A197C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  <w:lang w:val="en-US"/>
        </w:rPr>
        <w:t>。已参加第十九届“挑战杯”全国大学生课外学术科技作品竞赛2024年度“揭榜挂帅”专项赛的作品可以继续参加第二十四届“创新杯”揭榜挂帅专项赛。</w:t>
      </w:r>
    </w:p>
    <w:p w14:paraId="199F0630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五、答题要求</w:t>
      </w:r>
    </w:p>
    <w:p w14:paraId="10734F04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参赛者应完成绿氢隔膜（</w:t>
      </w:r>
      <w:r>
        <w:rPr>
          <w:rFonts w:eastAsia="仿宋_GB2312" w:cs="仿宋_GB2312"/>
          <w:sz w:val="32"/>
          <w:szCs w:val="32"/>
          <w:lang w:val="en-US"/>
        </w:rPr>
        <w:t>包含ALK隔膜，PEM及AEM</w:t>
      </w:r>
      <w:r>
        <w:rPr>
          <w:rFonts w:eastAsia="仿宋_GB2312" w:cs="仿宋_GB2312"/>
          <w:sz w:val="32"/>
          <w:szCs w:val="32"/>
        </w:rPr>
        <w:t>）的制备和测试，参赛作品提交内容包括报告类、影音类和实物类。</w:t>
      </w:r>
    </w:p>
    <w:p w14:paraId="437A5B41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1.</w:t>
      </w:r>
      <w:r>
        <w:rPr>
          <w:rFonts w:hint="eastAsia" w:eastAsia="仿宋_GB2312" w:cs="仿宋_GB2312"/>
          <w:sz w:val="32"/>
          <w:szCs w:val="32"/>
        </w:rPr>
        <w:t>报告类</w:t>
      </w:r>
    </w:p>
    <w:p w14:paraId="47EE9DFA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绿氢隔膜的制备方案及性能测试报告。</w:t>
      </w:r>
    </w:p>
    <w:p w14:paraId="45917FC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2.</w:t>
      </w:r>
      <w:r>
        <w:rPr>
          <w:rFonts w:hint="eastAsia" w:eastAsia="仿宋_GB2312" w:cs="仿宋_GB2312"/>
          <w:sz w:val="32"/>
          <w:szCs w:val="32"/>
        </w:rPr>
        <w:t>实物类</w:t>
      </w:r>
    </w:p>
    <w:p w14:paraId="15644BE7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绿氢隔膜。</w:t>
      </w:r>
    </w:p>
    <w:p w14:paraId="770C0320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3.</w:t>
      </w:r>
      <w:r>
        <w:rPr>
          <w:rFonts w:hint="eastAsia" w:eastAsia="仿宋_GB2312" w:cs="仿宋_GB2312"/>
          <w:sz w:val="32"/>
          <w:szCs w:val="32"/>
        </w:rPr>
        <w:t>影音类</w:t>
      </w:r>
    </w:p>
    <w:p w14:paraId="42EF3F76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</w:rPr>
      </w:pPr>
      <w:r>
        <w:rPr>
          <w:rFonts w:eastAsia="仿宋_GB2312" w:cs="仿宋_GB2312"/>
          <w:sz w:val="32"/>
          <w:szCs w:val="32"/>
        </w:rPr>
        <w:t>绿氢隔膜制备与检测过程，以视频/图像/报告的方式介绍技术原理与效果（可选）。</w:t>
      </w:r>
    </w:p>
    <w:p w14:paraId="5ACC7CF5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六、作品评选参考标准</w:t>
      </w:r>
    </w:p>
    <w:p w14:paraId="67C71A9D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</w:rPr>
        <w:t>1.</w:t>
      </w:r>
      <w:r>
        <w:rPr>
          <w:rFonts w:hint="eastAsia" w:eastAsia="仿宋_GB2312" w:cs="仿宋_GB2312"/>
          <w:sz w:val="32"/>
          <w:szCs w:val="32"/>
          <w:lang w:val="en-US"/>
        </w:rPr>
        <w:t xml:space="preserve"> </w:t>
      </w:r>
      <w:r>
        <w:rPr>
          <w:rFonts w:eastAsia="仿宋_GB2312" w:cs="仿宋_GB2312"/>
          <w:sz w:val="32"/>
          <w:szCs w:val="32"/>
          <w:lang w:val="en-US"/>
        </w:rPr>
        <w:t>作品完整性：50分</w:t>
      </w:r>
    </w:p>
    <w:p w14:paraId="6463D83C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参赛队伍需独立开展电解水制氢隔膜的研究及制备、实验及测试。参赛者可以在ALK、PEMWE、AEMWE三种技术中选择一种，并提交《技术研究与设计报告》一份。报告内容包括但不限于项目概况、研究内容、核心技术/创新点、实验方案、成果总结（包括专利、论文、相关鉴定报告等）。要求契合主题、观点明确，数据准确，结构完整，文字简洁流畅，结合本企业具体实际，对解决实际问题具有指导意义，具有商业应用性。</w:t>
      </w:r>
    </w:p>
    <w:p w14:paraId="586635A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该部分为50分，如未完成，按照完成比例给予评定，最多不超过30分。</w:t>
      </w:r>
    </w:p>
    <w:p w14:paraId="51DE6193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 xml:space="preserve">2. </w:t>
      </w:r>
      <w:r>
        <w:rPr>
          <w:rFonts w:eastAsia="仿宋_GB2312" w:cs="仿宋_GB2312"/>
          <w:sz w:val="32"/>
          <w:szCs w:val="32"/>
          <w:lang w:val="en-US"/>
        </w:rPr>
        <w:t>作品评价指标：50分</w:t>
      </w:r>
    </w:p>
    <w:p w14:paraId="70B67FA4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各参赛队伍需提供电解水制氢隔膜样品（ALK、PEMWE、AEMWE三种之一），样品尺寸宽度≥200mm，长度≥200mm，样品具体参数如下：</w:t>
      </w:r>
    </w:p>
    <w:p w14:paraId="0EE79E16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应用于ALK的多孔隔膜：</w:t>
      </w:r>
    </w:p>
    <w:tbl>
      <w:tblPr>
        <w:tblStyle w:val="9"/>
        <w:tblW w:w="0" w:type="auto"/>
        <w:tblInd w:w="1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2409"/>
        <w:gridCol w:w="3624"/>
      </w:tblGrid>
      <w:tr w14:paraId="021E7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5DE08100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</w:p>
        </w:tc>
        <w:tc>
          <w:tcPr>
            <w:tcW w:w="2409" w:type="dxa"/>
          </w:tcPr>
          <w:p w14:paraId="2356E1C6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性能表征</w:t>
            </w:r>
          </w:p>
        </w:tc>
        <w:tc>
          <w:tcPr>
            <w:tcW w:w="3624" w:type="dxa"/>
          </w:tcPr>
          <w:p w14:paraId="09B53DEB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具体参数</w:t>
            </w:r>
          </w:p>
        </w:tc>
      </w:tr>
      <w:tr w14:paraId="54CA2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191A84AC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1</w:t>
            </w:r>
          </w:p>
        </w:tc>
        <w:tc>
          <w:tcPr>
            <w:tcW w:w="2409" w:type="dxa"/>
          </w:tcPr>
          <w:p w14:paraId="184038F7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膜面电阻</w:t>
            </w:r>
          </w:p>
        </w:tc>
        <w:tc>
          <w:tcPr>
            <w:tcW w:w="3624" w:type="dxa"/>
          </w:tcPr>
          <w:p w14:paraId="74D4A3AB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≤0.2 Ω</w:t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sym w:font="Symbol" w:char="F0D7"/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t>cm2</w:t>
            </w:r>
          </w:p>
        </w:tc>
      </w:tr>
      <w:tr w14:paraId="7E6D6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07481D4A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2</w:t>
            </w:r>
          </w:p>
        </w:tc>
        <w:tc>
          <w:tcPr>
            <w:tcW w:w="2409" w:type="dxa"/>
          </w:tcPr>
          <w:p w14:paraId="439BAB0C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膜稳定性</w:t>
            </w:r>
          </w:p>
        </w:tc>
        <w:tc>
          <w:tcPr>
            <w:tcW w:w="3624" w:type="dxa"/>
          </w:tcPr>
          <w:p w14:paraId="11942AB4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材料降解≤0.2 %@3000 h</w:t>
            </w:r>
          </w:p>
        </w:tc>
      </w:tr>
      <w:tr w14:paraId="426C7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54AD7DBE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3</w:t>
            </w:r>
          </w:p>
        </w:tc>
        <w:tc>
          <w:tcPr>
            <w:tcW w:w="2409" w:type="dxa"/>
          </w:tcPr>
          <w:p w14:paraId="0EA81FEA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气密性</w:t>
            </w:r>
          </w:p>
        </w:tc>
        <w:tc>
          <w:tcPr>
            <w:tcW w:w="3624" w:type="dxa"/>
          </w:tcPr>
          <w:p w14:paraId="0DB9845A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氢气透过率≤100 pmol</w:t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sym w:font="Symbol" w:char="F0D7"/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t>s-1</w:t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sym w:font="Symbol" w:char="F0D7"/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t>cm-1</w:t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sym w:font="Symbol" w:char="F0D7"/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t>bar-1</w:t>
            </w:r>
          </w:p>
        </w:tc>
      </w:tr>
      <w:tr w14:paraId="2B2C7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16833DB1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4</w:t>
            </w:r>
          </w:p>
        </w:tc>
        <w:tc>
          <w:tcPr>
            <w:tcW w:w="2409" w:type="dxa"/>
          </w:tcPr>
          <w:p w14:paraId="18D052B5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强度</w:t>
            </w:r>
          </w:p>
        </w:tc>
        <w:tc>
          <w:tcPr>
            <w:tcW w:w="3624" w:type="dxa"/>
          </w:tcPr>
          <w:p w14:paraId="2E3BB80F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5~25 kgf</w:t>
            </w:r>
          </w:p>
        </w:tc>
      </w:tr>
      <w:tr w14:paraId="5DAAB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554C06C5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5</w:t>
            </w:r>
          </w:p>
        </w:tc>
        <w:tc>
          <w:tcPr>
            <w:tcW w:w="2409" w:type="dxa"/>
          </w:tcPr>
          <w:p w14:paraId="5817DDBA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亲水性</w:t>
            </w:r>
          </w:p>
        </w:tc>
        <w:tc>
          <w:tcPr>
            <w:tcW w:w="3624" w:type="dxa"/>
          </w:tcPr>
          <w:p w14:paraId="2727DED4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水接触角&lt;60°</w:t>
            </w:r>
          </w:p>
        </w:tc>
      </w:tr>
      <w:tr w14:paraId="4773C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58D00989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6</w:t>
            </w:r>
          </w:p>
        </w:tc>
        <w:tc>
          <w:tcPr>
            <w:tcW w:w="2409" w:type="dxa"/>
          </w:tcPr>
          <w:p w14:paraId="3C2AFA4B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耐热性</w:t>
            </w:r>
          </w:p>
        </w:tc>
        <w:tc>
          <w:tcPr>
            <w:tcW w:w="3624" w:type="dxa"/>
          </w:tcPr>
          <w:p w14:paraId="4681CBAC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可耐受100℃高温</w:t>
            </w:r>
          </w:p>
        </w:tc>
      </w:tr>
      <w:tr w14:paraId="545A1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1FA22092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7</w:t>
            </w:r>
          </w:p>
        </w:tc>
        <w:tc>
          <w:tcPr>
            <w:tcW w:w="2409" w:type="dxa"/>
          </w:tcPr>
          <w:p w14:paraId="04FD61CA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制氢电流密度</w:t>
            </w:r>
          </w:p>
        </w:tc>
        <w:tc>
          <w:tcPr>
            <w:tcW w:w="3624" w:type="dxa"/>
          </w:tcPr>
          <w:p w14:paraId="5A83CCBC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1.5 A cm-2 @2.0 V（80℃，30 wt% KOH溶液）（iR-free，本征性能）</w:t>
            </w:r>
          </w:p>
        </w:tc>
      </w:tr>
      <w:tr w14:paraId="15F61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514684F4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8</w:t>
            </w:r>
          </w:p>
        </w:tc>
        <w:tc>
          <w:tcPr>
            <w:tcW w:w="2409" w:type="dxa"/>
          </w:tcPr>
          <w:p w14:paraId="1E50323E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电压稳定性</w:t>
            </w:r>
          </w:p>
        </w:tc>
        <w:tc>
          <w:tcPr>
            <w:tcW w:w="3624" w:type="dxa"/>
          </w:tcPr>
          <w:p w14:paraId="2D6A3718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500 h内电压衰减&lt;10%@0.5 A cm-2</w:t>
            </w:r>
          </w:p>
        </w:tc>
      </w:tr>
      <w:tr w14:paraId="38920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704B0D07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9</w:t>
            </w:r>
          </w:p>
        </w:tc>
        <w:tc>
          <w:tcPr>
            <w:tcW w:w="2409" w:type="dxa"/>
          </w:tcPr>
          <w:p w14:paraId="177AE155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氢气纯度</w:t>
            </w:r>
          </w:p>
        </w:tc>
        <w:tc>
          <w:tcPr>
            <w:tcW w:w="3624" w:type="dxa"/>
          </w:tcPr>
          <w:p w14:paraId="4C77C8D2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&gt;99.9 vol%</w:t>
            </w:r>
          </w:p>
        </w:tc>
      </w:tr>
    </w:tbl>
    <w:p w14:paraId="11FDF92A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应用于</w:t>
      </w:r>
      <w:r>
        <w:rPr>
          <w:rFonts w:hint="eastAsia" w:eastAsia="仿宋_GB2312" w:cs="仿宋_GB2312"/>
          <w:sz w:val="32"/>
          <w:szCs w:val="32"/>
          <w:lang w:val="en-US"/>
        </w:rPr>
        <w:t>PEM</w:t>
      </w:r>
      <w:r>
        <w:rPr>
          <w:rFonts w:eastAsia="仿宋_GB2312" w:cs="仿宋_GB2312"/>
          <w:sz w:val="32"/>
          <w:szCs w:val="32"/>
          <w:lang w:val="en-US"/>
        </w:rPr>
        <w:t>的多孔隔膜</w:t>
      </w:r>
      <w:r>
        <w:rPr>
          <w:rFonts w:hint="eastAsia" w:eastAsia="仿宋_GB2312" w:cs="仿宋_GB2312"/>
          <w:sz w:val="32"/>
          <w:szCs w:val="32"/>
          <w:lang w:val="en-US"/>
        </w:rPr>
        <w:t>：</w:t>
      </w:r>
    </w:p>
    <w:tbl>
      <w:tblPr>
        <w:tblStyle w:val="9"/>
        <w:tblW w:w="0" w:type="auto"/>
        <w:tblInd w:w="1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2409"/>
        <w:gridCol w:w="3624"/>
      </w:tblGrid>
      <w:tr w14:paraId="73962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5F8EA865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</w:p>
        </w:tc>
        <w:tc>
          <w:tcPr>
            <w:tcW w:w="2409" w:type="dxa"/>
          </w:tcPr>
          <w:p w14:paraId="75C186C4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性能表征</w:t>
            </w:r>
          </w:p>
        </w:tc>
        <w:tc>
          <w:tcPr>
            <w:tcW w:w="3624" w:type="dxa"/>
          </w:tcPr>
          <w:p w14:paraId="4A9D9C87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具体参数</w:t>
            </w:r>
          </w:p>
        </w:tc>
      </w:tr>
      <w:tr w14:paraId="3D6D9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181166FA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1</w:t>
            </w:r>
          </w:p>
        </w:tc>
        <w:tc>
          <w:tcPr>
            <w:tcW w:w="2409" w:type="dxa"/>
          </w:tcPr>
          <w:p w14:paraId="7247B671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H+离子电导率</w:t>
            </w:r>
          </w:p>
        </w:tc>
        <w:tc>
          <w:tcPr>
            <w:tcW w:w="3624" w:type="dxa"/>
          </w:tcPr>
          <w:p w14:paraId="411A7ED7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≥300 mS/cm</w:t>
            </w:r>
          </w:p>
        </w:tc>
      </w:tr>
      <w:tr w14:paraId="2EE75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16C4D527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2</w:t>
            </w:r>
          </w:p>
        </w:tc>
        <w:tc>
          <w:tcPr>
            <w:tcW w:w="2409" w:type="dxa"/>
          </w:tcPr>
          <w:p w14:paraId="6362B39E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湿膜强度</w:t>
            </w:r>
          </w:p>
        </w:tc>
        <w:tc>
          <w:tcPr>
            <w:tcW w:w="3624" w:type="dxa"/>
          </w:tcPr>
          <w:p w14:paraId="24961206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≥40 MPa</w:t>
            </w:r>
          </w:p>
        </w:tc>
      </w:tr>
      <w:tr w14:paraId="37713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15599965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3</w:t>
            </w:r>
          </w:p>
        </w:tc>
        <w:tc>
          <w:tcPr>
            <w:tcW w:w="2409" w:type="dxa"/>
          </w:tcPr>
          <w:p w14:paraId="0DD1BA70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溶胀率</w:t>
            </w:r>
          </w:p>
        </w:tc>
        <w:tc>
          <w:tcPr>
            <w:tcW w:w="3624" w:type="dxa"/>
          </w:tcPr>
          <w:p w14:paraId="7E28CB63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≤10%</w:t>
            </w:r>
          </w:p>
        </w:tc>
      </w:tr>
      <w:tr w14:paraId="5DC38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5A4256C4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4</w:t>
            </w:r>
          </w:p>
        </w:tc>
        <w:tc>
          <w:tcPr>
            <w:tcW w:w="2409" w:type="dxa"/>
          </w:tcPr>
          <w:p w14:paraId="2D290F74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抗氧化性</w:t>
            </w:r>
          </w:p>
        </w:tc>
        <w:tc>
          <w:tcPr>
            <w:tcW w:w="3624" w:type="dxa"/>
          </w:tcPr>
          <w:p w14:paraId="08971C08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Fenton试剂，80℃条件下，1000 h内质量衰减≤10%，离子电导率衰减≤5%</w:t>
            </w:r>
          </w:p>
        </w:tc>
      </w:tr>
      <w:tr w14:paraId="1ED11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0D02C9CB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5</w:t>
            </w:r>
          </w:p>
        </w:tc>
        <w:tc>
          <w:tcPr>
            <w:tcW w:w="2409" w:type="dxa"/>
          </w:tcPr>
          <w:p w14:paraId="008A3ABE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厚度</w:t>
            </w:r>
          </w:p>
        </w:tc>
        <w:tc>
          <w:tcPr>
            <w:tcW w:w="3624" w:type="dxa"/>
          </w:tcPr>
          <w:p w14:paraId="62385D5C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20-100</w:t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sym w:font="Symbol" w:char="F0B1"/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t>2%微米</w:t>
            </w:r>
          </w:p>
        </w:tc>
      </w:tr>
      <w:tr w14:paraId="202F2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5F30A389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6</w:t>
            </w:r>
          </w:p>
        </w:tc>
        <w:tc>
          <w:tcPr>
            <w:tcW w:w="2409" w:type="dxa"/>
          </w:tcPr>
          <w:p w14:paraId="35F472CD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气密性</w:t>
            </w:r>
          </w:p>
        </w:tc>
        <w:tc>
          <w:tcPr>
            <w:tcW w:w="3624" w:type="dxa"/>
          </w:tcPr>
          <w:p w14:paraId="1249EF51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氢气透过率≤50 pmol</w:t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sym w:font="Symbol" w:char="F0D7"/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t>s-1</w:t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sym w:font="Symbol" w:char="F0D7"/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t>cm-1</w:t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sym w:font="Symbol" w:char="F0D7"/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t>bar-1</w:t>
            </w:r>
          </w:p>
        </w:tc>
      </w:tr>
      <w:tr w14:paraId="7DE2C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1D90D094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7</w:t>
            </w:r>
          </w:p>
        </w:tc>
        <w:tc>
          <w:tcPr>
            <w:tcW w:w="2409" w:type="dxa"/>
          </w:tcPr>
          <w:p w14:paraId="6709C6C2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制氢电流密度</w:t>
            </w:r>
          </w:p>
        </w:tc>
        <w:tc>
          <w:tcPr>
            <w:tcW w:w="3624" w:type="dxa"/>
          </w:tcPr>
          <w:p w14:paraId="19F5A472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2.0 A cm-2 @2.0 V（80℃，1 M KOH溶液）（iR-free，本征性能）</w:t>
            </w:r>
          </w:p>
        </w:tc>
      </w:tr>
      <w:tr w14:paraId="13DF2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1486597B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8</w:t>
            </w:r>
          </w:p>
        </w:tc>
        <w:tc>
          <w:tcPr>
            <w:tcW w:w="2409" w:type="dxa"/>
          </w:tcPr>
          <w:p w14:paraId="710E5F0F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电压稳定性</w:t>
            </w:r>
          </w:p>
        </w:tc>
        <w:tc>
          <w:tcPr>
            <w:tcW w:w="3624" w:type="dxa"/>
          </w:tcPr>
          <w:p w14:paraId="17504223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1000 h内电压衰减&lt;10%@0.5 A cm-2</w:t>
            </w:r>
          </w:p>
        </w:tc>
      </w:tr>
      <w:tr w14:paraId="17F69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396F97CD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9</w:t>
            </w:r>
          </w:p>
        </w:tc>
        <w:tc>
          <w:tcPr>
            <w:tcW w:w="2409" w:type="dxa"/>
          </w:tcPr>
          <w:p w14:paraId="6C8FF88F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氢气纯度</w:t>
            </w:r>
          </w:p>
        </w:tc>
        <w:tc>
          <w:tcPr>
            <w:tcW w:w="3624" w:type="dxa"/>
          </w:tcPr>
          <w:p w14:paraId="422FC441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&gt;99.9 vol%</w:t>
            </w:r>
          </w:p>
        </w:tc>
      </w:tr>
    </w:tbl>
    <w:p w14:paraId="761DE3A3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应用于A</w:t>
      </w:r>
      <w:r>
        <w:rPr>
          <w:rFonts w:hint="eastAsia" w:eastAsia="仿宋_GB2312" w:cs="仿宋_GB2312"/>
          <w:sz w:val="32"/>
          <w:szCs w:val="32"/>
          <w:lang w:val="en-US"/>
        </w:rPr>
        <w:t>EM</w:t>
      </w:r>
      <w:r>
        <w:rPr>
          <w:rFonts w:eastAsia="仿宋_GB2312" w:cs="仿宋_GB2312"/>
          <w:sz w:val="32"/>
          <w:szCs w:val="32"/>
          <w:lang w:val="en-US"/>
        </w:rPr>
        <w:t>的多孔隔膜</w:t>
      </w:r>
    </w:p>
    <w:tbl>
      <w:tblPr>
        <w:tblStyle w:val="9"/>
        <w:tblW w:w="0" w:type="auto"/>
        <w:tblInd w:w="1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2409"/>
        <w:gridCol w:w="3624"/>
      </w:tblGrid>
      <w:tr w14:paraId="5A3D3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6A1EB0C3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</w:p>
        </w:tc>
        <w:tc>
          <w:tcPr>
            <w:tcW w:w="2409" w:type="dxa"/>
          </w:tcPr>
          <w:p w14:paraId="32163280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性能表征</w:t>
            </w:r>
          </w:p>
        </w:tc>
        <w:tc>
          <w:tcPr>
            <w:tcW w:w="3624" w:type="dxa"/>
          </w:tcPr>
          <w:p w14:paraId="3C8219A2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具体参数</w:t>
            </w:r>
          </w:p>
        </w:tc>
      </w:tr>
      <w:tr w14:paraId="711CF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2820089D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1</w:t>
            </w:r>
          </w:p>
        </w:tc>
        <w:tc>
          <w:tcPr>
            <w:tcW w:w="2409" w:type="dxa"/>
          </w:tcPr>
          <w:p w14:paraId="76A889F4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OH-离子电导</w:t>
            </w: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率</w:t>
            </w:r>
          </w:p>
        </w:tc>
        <w:tc>
          <w:tcPr>
            <w:tcW w:w="3624" w:type="dxa"/>
          </w:tcPr>
          <w:p w14:paraId="66D2059D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≥300 mS/cm</w:t>
            </w:r>
          </w:p>
        </w:tc>
      </w:tr>
      <w:tr w14:paraId="59BDF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4F59F557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2</w:t>
            </w:r>
          </w:p>
        </w:tc>
        <w:tc>
          <w:tcPr>
            <w:tcW w:w="2409" w:type="dxa"/>
          </w:tcPr>
          <w:p w14:paraId="48124ABE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湿膜强度</w:t>
            </w:r>
          </w:p>
        </w:tc>
        <w:tc>
          <w:tcPr>
            <w:tcW w:w="3624" w:type="dxa"/>
          </w:tcPr>
          <w:p w14:paraId="30FE5C65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≥40 MPa</w:t>
            </w:r>
          </w:p>
        </w:tc>
      </w:tr>
      <w:tr w14:paraId="44C0C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172B13A8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3</w:t>
            </w:r>
          </w:p>
        </w:tc>
        <w:tc>
          <w:tcPr>
            <w:tcW w:w="2409" w:type="dxa"/>
          </w:tcPr>
          <w:p w14:paraId="6BC8BA2F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溶胀率</w:t>
            </w:r>
          </w:p>
        </w:tc>
        <w:tc>
          <w:tcPr>
            <w:tcW w:w="3624" w:type="dxa"/>
          </w:tcPr>
          <w:p w14:paraId="3A0F04DD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≤10%</w:t>
            </w:r>
          </w:p>
        </w:tc>
      </w:tr>
      <w:tr w14:paraId="6B71D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66E8EB46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4</w:t>
            </w:r>
          </w:p>
        </w:tc>
        <w:tc>
          <w:tcPr>
            <w:tcW w:w="2409" w:type="dxa"/>
          </w:tcPr>
          <w:p w14:paraId="50ECE506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1 M KOH，80℃条件下，5000 h离子电导率衰减</w:t>
            </w:r>
          </w:p>
        </w:tc>
        <w:tc>
          <w:tcPr>
            <w:tcW w:w="3624" w:type="dxa"/>
          </w:tcPr>
          <w:p w14:paraId="1381D603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≤5%</w:t>
            </w:r>
          </w:p>
        </w:tc>
      </w:tr>
      <w:tr w14:paraId="23D34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17228298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5</w:t>
            </w:r>
          </w:p>
        </w:tc>
        <w:tc>
          <w:tcPr>
            <w:tcW w:w="2409" w:type="dxa"/>
          </w:tcPr>
          <w:p w14:paraId="10A16184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厚度</w:t>
            </w:r>
          </w:p>
        </w:tc>
        <w:tc>
          <w:tcPr>
            <w:tcW w:w="3624" w:type="dxa"/>
          </w:tcPr>
          <w:p w14:paraId="1CCE0869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20-100</w:t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sym w:font="Symbol" w:char="F0B1"/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t>2%微米</w:t>
            </w:r>
          </w:p>
        </w:tc>
      </w:tr>
      <w:tr w14:paraId="42C3A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138F7FA6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6</w:t>
            </w:r>
          </w:p>
        </w:tc>
        <w:tc>
          <w:tcPr>
            <w:tcW w:w="2409" w:type="dxa"/>
          </w:tcPr>
          <w:p w14:paraId="011E4343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气密性</w:t>
            </w:r>
          </w:p>
        </w:tc>
        <w:tc>
          <w:tcPr>
            <w:tcW w:w="3624" w:type="dxa"/>
          </w:tcPr>
          <w:p w14:paraId="7FF2F342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氢气透过率≤50 pmol</w:t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sym w:font="Symbol" w:char="F0D7"/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t>s-1</w:t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sym w:font="Symbol" w:char="F0D7"/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t>cm-1</w:t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sym w:font="Symbol" w:char="F0D7"/>
            </w:r>
            <w:r>
              <w:rPr>
                <w:rFonts w:eastAsia="仿宋_GB2312" w:cs="仿宋_GB2312"/>
                <w:sz w:val="32"/>
                <w:szCs w:val="32"/>
                <w:lang w:val="en-US"/>
              </w:rPr>
              <w:t>bar-1</w:t>
            </w:r>
          </w:p>
        </w:tc>
      </w:tr>
      <w:tr w14:paraId="27A32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28A8DE44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7</w:t>
            </w:r>
          </w:p>
        </w:tc>
        <w:tc>
          <w:tcPr>
            <w:tcW w:w="2409" w:type="dxa"/>
          </w:tcPr>
          <w:p w14:paraId="447A70CC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制氢电流密度</w:t>
            </w:r>
          </w:p>
        </w:tc>
        <w:tc>
          <w:tcPr>
            <w:tcW w:w="3624" w:type="dxa"/>
          </w:tcPr>
          <w:p w14:paraId="078D91DE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2.0 A cm-2 @2.0 V（80℃，1 M KOH溶液）（iR-free，本征性能）</w:t>
            </w:r>
          </w:p>
        </w:tc>
      </w:tr>
      <w:tr w14:paraId="6F4D7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5492B6BF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8</w:t>
            </w:r>
          </w:p>
        </w:tc>
        <w:tc>
          <w:tcPr>
            <w:tcW w:w="2409" w:type="dxa"/>
          </w:tcPr>
          <w:p w14:paraId="5253CAA8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电压稳定性</w:t>
            </w:r>
          </w:p>
        </w:tc>
        <w:tc>
          <w:tcPr>
            <w:tcW w:w="3624" w:type="dxa"/>
          </w:tcPr>
          <w:p w14:paraId="0D0797F6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1000 h内电压衰减&lt;10%@0.5 A cm-2</w:t>
            </w:r>
          </w:p>
        </w:tc>
      </w:tr>
      <w:tr w14:paraId="6A799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9" w:type="dxa"/>
          </w:tcPr>
          <w:p w14:paraId="2C07E652">
            <w:pPr>
              <w:spacing w:line="560" w:lineRule="exact"/>
              <w:ind w:firstLine="640" w:firstLineChars="200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eastAsia="仿宋_GB2312" w:cs="仿宋_GB2312"/>
                <w:sz w:val="32"/>
                <w:szCs w:val="32"/>
                <w:lang w:val="en-US"/>
              </w:rPr>
              <w:t>9</w:t>
            </w:r>
          </w:p>
        </w:tc>
        <w:tc>
          <w:tcPr>
            <w:tcW w:w="2409" w:type="dxa"/>
          </w:tcPr>
          <w:p w14:paraId="36A1FD58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氢气纯度</w:t>
            </w:r>
          </w:p>
        </w:tc>
        <w:tc>
          <w:tcPr>
            <w:tcW w:w="3624" w:type="dxa"/>
          </w:tcPr>
          <w:p w14:paraId="6C7E760F">
            <w:pPr>
              <w:spacing w:line="560" w:lineRule="exact"/>
              <w:jc w:val="center"/>
              <w:rPr>
                <w:rFonts w:eastAsia="仿宋_GB2312" w:cs="仿宋_GB2312"/>
                <w:sz w:val="32"/>
                <w:szCs w:val="32"/>
                <w:lang w:val="en-US"/>
              </w:rPr>
            </w:pPr>
            <w:r>
              <w:rPr>
                <w:rFonts w:eastAsia="仿宋_GB2312" w:cs="仿宋_GB2312"/>
                <w:sz w:val="32"/>
                <w:szCs w:val="32"/>
                <w:lang w:val="en-US"/>
              </w:rPr>
              <w:t>&gt;99.9 vol%</w:t>
            </w:r>
          </w:p>
        </w:tc>
      </w:tr>
    </w:tbl>
    <w:p w14:paraId="6F423964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如未达到以上指标要求，按照完成度比例给予评定，最多不超过40分。</w:t>
      </w:r>
    </w:p>
    <w:p w14:paraId="2F1E3DB6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七、作品提交及评审安排</w:t>
      </w: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ab/>
      </w:r>
    </w:p>
    <w:p w14:paraId="25828C9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1C58DC2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4"/>
          <w:rFonts w:eastAsia="仿宋_GB2312" w:cs="仿宋_GB2312"/>
          <w:sz w:val="32"/>
          <w:szCs w:val="32"/>
          <w:lang w:val="en-US"/>
        </w:rPr>
        <w:t>wutxskx@163.com。</w:t>
      </w:r>
      <w:r>
        <w:rPr>
          <w:rStyle w:val="14"/>
          <w:rFonts w:eastAsia="仿宋_GB2312" w:cs="仿宋_GB2312"/>
          <w:sz w:val="32"/>
          <w:szCs w:val="32"/>
          <w:lang w:val="en-US"/>
        </w:rPr>
        <w:fldChar w:fldCharType="end"/>
      </w:r>
    </w:p>
    <w:p w14:paraId="0559DD8E">
      <w:pPr>
        <w:spacing w:line="560" w:lineRule="exact"/>
        <w:ind w:firstLine="640" w:firstLineChars="200"/>
        <w:jc w:val="both"/>
        <w:rPr>
          <w:rFonts w:eastAsia="方正仿宋_GBK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</w:t>
      </w:r>
      <w:bookmarkStart w:id="0" w:name="_GoBack"/>
      <w:bookmarkEnd w:id="0"/>
      <w:r>
        <w:rPr>
          <w:rFonts w:eastAsia="仿宋_GB2312" w:cs="仿宋_GB2312"/>
          <w:sz w:val="32"/>
          <w:szCs w:val="32"/>
          <w:lang w:val="en-US"/>
        </w:rPr>
        <w:t>决赛项目进行公开答辩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sectPr>
      <w:footerReference r:id="rId3" w:type="default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方正仿宋楷体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楷体_GB2312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71883351"/>
    </w:sdtPr>
    <w:sdtContent>
      <w:p w14:paraId="01F1A7D9">
        <w:pPr>
          <w:pStyle w:val="5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06DDCA7">
    <w:pPr>
      <w:pStyle w:val="5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1D2CD3"/>
    <w:multiLevelType w:val="singleLevel"/>
    <w:tmpl w:val="EF1D2CD3"/>
    <w:lvl w:ilvl="0" w:tentative="0">
      <w:start w:val="1"/>
      <w:numFmt w:val="chineseCounting"/>
      <w:pStyle w:val="3"/>
      <w:suff w:val="nothing"/>
      <w:lvlText w:val="%1、"/>
      <w:lvlJc w:val="left"/>
      <w:pPr>
        <w:ind w:left="147" w:firstLine="420"/>
      </w:pPr>
      <w:rPr>
        <w:rFonts w:hint="eastAsia"/>
      </w:rPr>
    </w:lvl>
  </w:abstractNum>
  <w:abstractNum w:abstractNumId="1">
    <w:nsid w:val="52994999"/>
    <w:multiLevelType w:val="singleLevel"/>
    <w:tmpl w:val="52994999"/>
    <w:lvl w:ilvl="0" w:tentative="0">
      <w:start w:val="1"/>
      <w:numFmt w:val="decimal"/>
      <w:pStyle w:val="4"/>
      <w:suff w:val="space"/>
      <w:lvlText w:val="%1."/>
      <w:lvlJc w:val="left"/>
      <w:pPr>
        <w:ind w:left="454" w:hanging="454"/>
      </w:pPr>
      <w:rPr>
        <w:rFonts w:hint="default" w:eastAsia="方正仿宋楷体"/>
        <w:sz w:val="32"/>
        <w:szCs w:val="3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8769EE"/>
    <w:rsid w:val="000024AF"/>
    <w:rsid w:val="00005D1C"/>
    <w:rsid w:val="00017E5B"/>
    <w:rsid w:val="00021C1D"/>
    <w:rsid w:val="00057714"/>
    <w:rsid w:val="000626B0"/>
    <w:rsid w:val="00064968"/>
    <w:rsid w:val="00075C5A"/>
    <w:rsid w:val="000A2EC9"/>
    <w:rsid w:val="000A6775"/>
    <w:rsid w:val="000D57EF"/>
    <w:rsid w:val="0010211D"/>
    <w:rsid w:val="0011069F"/>
    <w:rsid w:val="00111E5D"/>
    <w:rsid w:val="00120156"/>
    <w:rsid w:val="001367A9"/>
    <w:rsid w:val="00143054"/>
    <w:rsid w:val="001579F2"/>
    <w:rsid w:val="00164C26"/>
    <w:rsid w:val="0016564C"/>
    <w:rsid w:val="001B0D74"/>
    <w:rsid w:val="001B2C6C"/>
    <w:rsid w:val="001C0DFA"/>
    <w:rsid w:val="001D0729"/>
    <w:rsid w:val="001E760D"/>
    <w:rsid w:val="001E77C2"/>
    <w:rsid w:val="001F6CC8"/>
    <w:rsid w:val="0020086A"/>
    <w:rsid w:val="00205E3B"/>
    <w:rsid w:val="00236E3E"/>
    <w:rsid w:val="002560B0"/>
    <w:rsid w:val="00281AE9"/>
    <w:rsid w:val="00283877"/>
    <w:rsid w:val="002938E3"/>
    <w:rsid w:val="002B0D40"/>
    <w:rsid w:val="002B6DDC"/>
    <w:rsid w:val="002E7BFD"/>
    <w:rsid w:val="002F7D9C"/>
    <w:rsid w:val="00314744"/>
    <w:rsid w:val="00341051"/>
    <w:rsid w:val="00351403"/>
    <w:rsid w:val="00354FAF"/>
    <w:rsid w:val="00363E2D"/>
    <w:rsid w:val="00371816"/>
    <w:rsid w:val="00392185"/>
    <w:rsid w:val="0039481F"/>
    <w:rsid w:val="003B6C68"/>
    <w:rsid w:val="003B786C"/>
    <w:rsid w:val="003E007F"/>
    <w:rsid w:val="003E2852"/>
    <w:rsid w:val="00403615"/>
    <w:rsid w:val="00405B32"/>
    <w:rsid w:val="00407F26"/>
    <w:rsid w:val="0041464C"/>
    <w:rsid w:val="00423D26"/>
    <w:rsid w:val="0044592C"/>
    <w:rsid w:val="00463782"/>
    <w:rsid w:val="00471974"/>
    <w:rsid w:val="004759CF"/>
    <w:rsid w:val="00476A7D"/>
    <w:rsid w:val="00483410"/>
    <w:rsid w:val="004876C3"/>
    <w:rsid w:val="00494F44"/>
    <w:rsid w:val="00496D3E"/>
    <w:rsid w:val="004A0A91"/>
    <w:rsid w:val="004B00B4"/>
    <w:rsid w:val="004B01E5"/>
    <w:rsid w:val="004B6FF1"/>
    <w:rsid w:val="004C3230"/>
    <w:rsid w:val="004D0FC5"/>
    <w:rsid w:val="004F30AF"/>
    <w:rsid w:val="004F3DC9"/>
    <w:rsid w:val="00517736"/>
    <w:rsid w:val="00532B4E"/>
    <w:rsid w:val="005333BA"/>
    <w:rsid w:val="00537F15"/>
    <w:rsid w:val="00553DCC"/>
    <w:rsid w:val="00554C5C"/>
    <w:rsid w:val="005753FB"/>
    <w:rsid w:val="00577641"/>
    <w:rsid w:val="00580524"/>
    <w:rsid w:val="005844A1"/>
    <w:rsid w:val="00585CAC"/>
    <w:rsid w:val="005944CA"/>
    <w:rsid w:val="005A1799"/>
    <w:rsid w:val="005A5BBF"/>
    <w:rsid w:val="005C1AAC"/>
    <w:rsid w:val="005D33E1"/>
    <w:rsid w:val="005E0F11"/>
    <w:rsid w:val="00603AF5"/>
    <w:rsid w:val="006047E7"/>
    <w:rsid w:val="00606DA8"/>
    <w:rsid w:val="00613673"/>
    <w:rsid w:val="00613AAA"/>
    <w:rsid w:val="006226BA"/>
    <w:rsid w:val="00633F6B"/>
    <w:rsid w:val="00636F96"/>
    <w:rsid w:val="00663468"/>
    <w:rsid w:val="0066573D"/>
    <w:rsid w:val="0068166A"/>
    <w:rsid w:val="006A3A6E"/>
    <w:rsid w:val="006A51DF"/>
    <w:rsid w:val="006C3959"/>
    <w:rsid w:val="006C732F"/>
    <w:rsid w:val="006E6DDA"/>
    <w:rsid w:val="007216F0"/>
    <w:rsid w:val="0072472E"/>
    <w:rsid w:val="0073249A"/>
    <w:rsid w:val="00746651"/>
    <w:rsid w:val="00765C33"/>
    <w:rsid w:val="00777C79"/>
    <w:rsid w:val="007879EC"/>
    <w:rsid w:val="007F195A"/>
    <w:rsid w:val="00805D49"/>
    <w:rsid w:val="00816F55"/>
    <w:rsid w:val="00825FD8"/>
    <w:rsid w:val="008313DD"/>
    <w:rsid w:val="008321B0"/>
    <w:rsid w:val="00851D22"/>
    <w:rsid w:val="00860FD3"/>
    <w:rsid w:val="00863546"/>
    <w:rsid w:val="008669B5"/>
    <w:rsid w:val="00867EEA"/>
    <w:rsid w:val="00872C0C"/>
    <w:rsid w:val="00873B84"/>
    <w:rsid w:val="008769EE"/>
    <w:rsid w:val="0088143A"/>
    <w:rsid w:val="008836AC"/>
    <w:rsid w:val="00887D7E"/>
    <w:rsid w:val="0089086B"/>
    <w:rsid w:val="008B43EC"/>
    <w:rsid w:val="008C4B94"/>
    <w:rsid w:val="008E3EE3"/>
    <w:rsid w:val="008F01C5"/>
    <w:rsid w:val="008F2FB1"/>
    <w:rsid w:val="00912ADC"/>
    <w:rsid w:val="00917F07"/>
    <w:rsid w:val="00923192"/>
    <w:rsid w:val="00931DCA"/>
    <w:rsid w:val="0093518D"/>
    <w:rsid w:val="00937CB6"/>
    <w:rsid w:val="00953BA4"/>
    <w:rsid w:val="00954857"/>
    <w:rsid w:val="009632E8"/>
    <w:rsid w:val="00966187"/>
    <w:rsid w:val="00987542"/>
    <w:rsid w:val="00995541"/>
    <w:rsid w:val="00996802"/>
    <w:rsid w:val="009A5F81"/>
    <w:rsid w:val="009F55A6"/>
    <w:rsid w:val="00A0235C"/>
    <w:rsid w:val="00A22759"/>
    <w:rsid w:val="00A30D68"/>
    <w:rsid w:val="00A31A98"/>
    <w:rsid w:val="00A4232F"/>
    <w:rsid w:val="00A43480"/>
    <w:rsid w:val="00A460CE"/>
    <w:rsid w:val="00AA7BD8"/>
    <w:rsid w:val="00AB1BF4"/>
    <w:rsid w:val="00AD025A"/>
    <w:rsid w:val="00AD24CF"/>
    <w:rsid w:val="00AD6CFA"/>
    <w:rsid w:val="00AE66B7"/>
    <w:rsid w:val="00B0258C"/>
    <w:rsid w:val="00B32E7F"/>
    <w:rsid w:val="00B40CAF"/>
    <w:rsid w:val="00B42F63"/>
    <w:rsid w:val="00B52CCC"/>
    <w:rsid w:val="00B70A95"/>
    <w:rsid w:val="00B80EC7"/>
    <w:rsid w:val="00BA70BA"/>
    <w:rsid w:val="00BC1B59"/>
    <w:rsid w:val="00BE634B"/>
    <w:rsid w:val="00BF4E2D"/>
    <w:rsid w:val="00C217F1"/>
    <w:rsid w:val="00C24C93"/>
    <w:rsid w:val="00C60328"/>
    <w:rsid w:val="00C678B8"/>
    <w:rsid w:val="00C80C87"/>
    <w:rsid w:val="00C81301"/>
    <w:rsid w:val="00C82B11"/>
    <w:rsid w:val="00C8454D"/>
    <w:rsid w:val="00C90F03"/>
    <w:rsid w:val="00C97BA0"/>
    <w:rsid w:val="00CB5FAC"/>
    <w:rsid w:val="00D05DE3"/>
    <w:rsid w:val="00D125C6"/>
    <w:rsid w:val="00D474E2"/>
    <w:rsid w:val="00D531BB"/>
    <w:rsid w:val="00D55D40"/>
    <w:rsid w:val="00D64A7B"/>
    <w:rsid w:val="00D71164"/>
    <w:rsid w:val="00D755E0"/>
    <w:rsid w:val="00D8092B"/>
    <w:rsid w:val="00D826F5"/>
    <w:rsid w:val="00D905C1"/>
    <w:rsid w:val="00D9430E"/>
    <w:rsid w:val="00DA4A6A"/>
    <w:rsid w:val="00DB02D9"/>
    <w:rsid w:val="00DB59F1"/>
    <w:rsid w:val="00DE6299"/>
    <w:rsid w:val="00DF09AA"/>
    <w:rsid w:val="00DF5F80"/>
    <w:rsid w:val="00DF64DF"/>
    <w:rsid w:val="00DF78E0"/>
    <w:rsid w:val="00E01DD4"/>
    <w:rsid w:val="00E02303"/>
    <w:rsid w:val="00E05639"/>
    <w:rsid w:val="00E067C4"/>
    <w:rsid w:val="00E13134"/>
    <w:rsid w:val="00E30024"/>
    <w:rsid w:val="00E46C70"/>
    <w:rsid w:val="00E47733"/>
    <w:rsid w:val="00E5011B"/>
    <w:rsid w:val="00E524CD"/>
    <w:rsid w:val="00E65FC6"/>
    <w:rsid w:val="00E660C8"/>
    <w:rsid w:val="00E72C07"/>
    <w:rsid w:val="00E909FD"/>
    <w:rsid w:val="00EA0B44"/>
    <w:rsid w:val="00EA697C"/>
    <w:rsid w:val="00EB1E9B"/>
    <w:rsid w:val="00EB2BDB"/>
    <w:rsid w:val="00EB4B20"/>
    <w:rsid w:val="00EF3C50"/>
    <w:rsid w:val="00F1317D"/>
    <w:rsid w:val="00F256C4"/>
    <w:rsid w:val="00F26931"/>
    <w:rsid w:val="00F446D0"/>
    <w:rsid w:val="00F57CAE"/>
    <w:rsid w:val="00F70F5B"/>
    <w:rsid w:val="00F74A1C"/>
    <w:rsid w:val="00F75202"/>
    <w:rsid w:val="00F910DA"/>
    <w:rsid w:val="00FA1D99"/>
    <w:rsid w:val="00FB586C"/>
    <w:rsid w:val="00FF5C3F"/>
    <w:rsid w:val="011D4668"/>
    <w:rsid w:val="01AD4814"/>
    <w:rsid w:val="01D25B00"/>
    <w:rsid w:val="01D51F5B"/>
    <w:rsid w:val="02481270"/>
    <w:rsid w:val="029E34F5"/>
    <w:rsid w:val="03294FF9"/>
    <w:rsid w:val="03803D68"/>
    <w:rsid w:val="03910A32"/>
    <w:rsid w:val="03FE7196"/>
    <w:rsid w:val="040E5D41"/>
    <w:rsid w:val="043549F2"/>
    <w:rsid w:val="04816A57"/>
    <w:rsid w:val="04853FBB"/>
    <w:rsid w:val="051528EC"/>
    <w:rsid w:val="05185E54"/>
    <w:rsid w:val="05776D66"/>
    <w:rsid w:val="05C978FD"/>
    <w:rsid w:val="05E31242"/>
    <w:rsid w:val="0671705A"/>
    <w:rsid w:val="06732134"/>
    <w:rsid w:val="06F55DEF"/>
    <w:rsid w:val="07463F1D"/>
    <w:rsid w:val="078F2493"/>
    <w:rsid w:val="07901CC5"/>
    <w:rsid w:val="0795514D"/>
    <w:rsid w:val="0840076F"/>
    <w:rsid w:val="08601D96"/>
    <w:rsid w:val="087244E0"/>
    <w:rsid w:val="08C25676"/>
    <w:rsid w:val="09644BDE"/>
    <w:rsid w:val="09AA3609"/>
    <w:rsid w:val="0A260073"/>
    <w:rsid w:val="0A5C32C7"/>
    <w:rsid w:val="0A8F7AAE"/>
    <w:rsid w:val="0AD671E5"/>
    <w:rsid w:val="0B2B6586"/>
    <w:rsid w:val="0B4A5469"/>
    <w:rsid w:val="0B6B3F04"/>
    <w:rsid w:val="0B6F69F0"/>
    <w:rsid w:val="0B7739EA"/>
    <w:rsid w:val="0B8F177D"/>
    <w:rsid w:val="0C645CC6"/>
    <w:rsid w:val="0C955B7E"/>
    <w:rsid w:val="0CAD1E5B"/>
    <w:rsid w:val="0D09135F"/>
    <w:rsid w:val="0D4764C0"/>
    <w:rsid w:val="0D7E4529"/>
    <w:rsid w:val="0DA54A80"/>
    <w:rsid w:val="0DCF4D92"/>
    <w:rsid w:val="0EDC0AFF"/>
    <w:rsid w:val="0EF0331F"/>
    <w:rsid w:val="0F706100"/>
    <w:rsid w:val="0F78357E"/>
    <w:rsid w:val="0FA66A75"/>
    <w:rsid w:val="0FB12E15"/>
    <w:rsid w:val="106C4753"/>
    <w:rsid w:val="10772CDB"/>
    <w:rsid w:val="107A0F05"/>
    <w:rsid w:val="107F47F9"/>
    <w:rsid w:val="10DB3A4D"/>
    <w:rsid w:val="113D4D7B"/>
    <w:rsid w:val="11672B32"/>
    <w:rsid w:val="1178767D"/>
    <w:rsid w:val="11AD4CBD"/>
    <w:rsid w:val="11D96D62"/>
    <w:rsid w:val="120851FE"/>
    <w:rsid w:val="12415B32"/>
    <w:rsid w:val="12647A72"/>
    <w:rsid w:val="12A47462"/>
    <w:rsid w:val="12AB1133"/>
    <w:rsid w:val="12E36BE9"/>
    <w:rsid w:val="13221EE1"/>
    <w:rsid w:val="138059EE"/>
    <w:rsid w:val="138E2FF9"/>
    <w:rsid w:val="13CA2B4E"/>
    <w:rsid w:val="13EE5957"/>
    <w:rsid w:val="14294F3F"/>
    <w:rsid w:val="145A1BF7"/>
    <w:rsid w:val="14851B79"/>
    <w:rsid w:val="15AA5E96"/>
    <w:rsid w:val="15D942D4"/>
    <w:rsid w:val="162866A2"/>
    <w:rsid w:val="167224E4"/>
    <w:rsid w:val="16921FAF"/>
    <w:rsid w:val="177B78C5"/>
    <w:rsid w:val="17E2511D"/>
    <w:rsid w:val="1800389F"/>
    <w:rsid w:val="1804590C"/>
    <w:rsid w:val="181F20AD"/>
    <w:rsid w:val="184414B7"/>
    <w:rsid w:val="18917E09"/>
    <w:rsid w:val="189B4472"/>
    <w:rsid w:val="19300544"/>
    <w:rsid w:val="19492385"/>
    <w:rsid w:val="19883A90"/>
    <w:rsid w:val="1A1553DD"/>
    <w:rsid w:val="1A1667EC"/>
    <w:rsid w:val="1AD27C6F"/>
    <w:rsid w:val="1B24668A"/>
    <w:rsid w:val="1BED1E2C"/>
    <w:rsid w:val="1C054074"/>
    <w:rsid w:val="1C612DAD"/>
    <w:rsid w:val="1CC0325E"/>
    <w:rsid w:val="1D2D60B2"/>
    <w:rsid w:val="1D3B0FE4"/>
    <w:rsid w:val="1D435FFF"/>
    <w:rsid w:val="1D540A00"/>
    <w:rsid w:val="1D5D1C13"/>
    <w:rsid w:val="1DA327A0"/>
    <w:rsid w:val="1DA33B45"/>
    <w:rsid w:val="1DA67191"/>
    <w:rsid w:val="1DBC4027"/>
    <w:rsid w:val="1E504BF2"/>
    <w:rsid w:val="1EA907D1"/>
    <w:rsid w:val="1F066139"/>
    <w:rsid w:val="1F3C04FF"/>
    <w:rsid w:val="1F762BAF"/>
    <w:rsid w:val="20123648"/>
    <w:rsid w:val="21DA0F90"/>
    <w:rsid w:val="21FD6C01"/>
    <w:rsid w:val="22463DDE"/>
    <w:rsid w:val="227E692E"/>
    <w:rsid w:val="22881F58"/>
    <w:rsid w:val="22E55DA3"/>
    <w:rsid w:val="231F12DE"/>
    <w:rsid w:val="23531B69"/>
    <w:rsid w:val="23835AF5"/>
    <w:rsid w:val="23991047"/>
    <w:rsid w:val="23B107E7"/>
    <w:rsid w:val="23B940CE"/>
    <w:rsid w:val="242F1397"/>
    <w:rsid w:val="25324A72"/>
    <w:rsid w:val="2604714B"/>
    <w:rsid w:val="26680B0E"/>
    <w:rsid w:val="276607BD"/>
    <w:rsid w:val="27707807"/>
    <w:rsid w:val="277E3A4E"/>
    <w:rsid w:val="29095901"/>
    <w:rsid w:val="290F58EC"/>
    <w:rsid w:val="29712213"/>
    <w:rsid w:val="2A641BAA"/>
    <w:rsid w:val="2A85768A"/>
    <w:rsid w:val="2B0E3A48"/>
    <w:rsid w:val="2B2B347E"/>
    <w:rsid w:val="2B5841C1"/>
    <w:rsid w:val="2B5B5A5F"/>
    <w:rsid w:val="2B9C2019"/>
    <w:rsid w:val="2BC2788C"/>
    <w:rsid w:val="2BE61BF3"/>
    <w:rsid w:val="2BE63207"/>
    <w:rsid w:val="2BED05B2"/>
    <w:rsid w:val="2C112589"/>
    <w:rsid w:val="2C1B5B53"/>
    <w:rsid w:val="2CD92454"/>
    <w:rsid w:val="2D5072C9"/>
    <w:rsid w:val="2D9737AA"/>
    <w:rsid w:val="2E44738D"/>
    <w:rsid w:val="2E483CF0"/>
    <w:rsid w:val="2EAE282B"/>
    <w:rsid w:val="2ED43E1F"/>
    <w:rsid w:val="2EF61F5F"/>
    <w:rsid w:val="2F204D2F"/>
    <w:rsid w:val="2F213D0C"/>
    <w:rsid w:val="2F6B6D60"/>
    <w:rsid w:val="2FCD7BF6"/>
    <w:rsid w:val="30280776"/>
    <w:rsid w:val="30D8752B"/>
    <w:rsid w:val="31327933"/>
    <w:rsid w:val="314F7592"/>
    <w:rsid w:val="32047B94"/>
    <w:rsid w:val="32886AF3"/>
    <w:rsid w:val="32EF5010"/>
    <w:rsid w:val="33020A40"/>
    <w:rsid w:val="33047391"/>
    <w:rsid w:val="333332D8"/>
    <w:rsid w:val="333C43C8"/>
    <w:rsid w:val="338737FF"/>
    <w:rsid w:val="346854E4"/>
    <w:rsid w:val="347270AC"/>
    <w:rsid w:val="34A400A9"/>
    <w:rsid w:val="350D59DC"/>
    <w:rsid w:val="351116A8"/>
    <w:rsid w:val="359C73A0"/>
    <w:rsid w:val="35F73B2D"/>
    <w:rsid w:val="36160F00"/>
    <w:rsid w:val="36A171E4"/>
    <w:rsid w:val="375B41E8"/>
    <w:rsid w:val="37983B5D"/>
    <w:rsid w:val="37E008B4"/>
    <w:rsid w:val="37E3463B"/>
    <w:rsid w:val="38731E86"/>
    <w:rsid w:val="38A54F26"/>
    <w:rsid w:val="38AB24E9"/>
    <w:rsid w:val="38DD789A"/>
    <w:rsid w:val="39367A94"/>
    <w:rsid w:val="393E61F7"/>
    <w:rsid w:val="39547B8F"/>
    <w:rsid w:val="396669FF"/>
    <w:rsid w:val="397B56DC"/>
    <w:rsid w:val="39AC7A37"/>
    <w:rsid w:val="39EE0ECA"/>
    <w:rsid w:val="3A010BF4"/>
    <w:rsid w:val="3A5A5133"/>
    <w:rsid w:val="3A5F052B"/>
    <w:rsid w:val="3B3347D5"/>
    <w:rsid w:val="3BC02155"/>
    <w:rsid w:val="3BF7E6BF"/>
    <w:rsid w:val="3C28581E"/>
    <w:rsid w:val="3C4538F8"/>
    <w:rsid w:val="3CA2297F"/>
    <w:rsid w:val="3CD975B2"/>
    <w:rsid w:val="3CFC1E0B"/>
    <w:rsid w:val="3CFF1E29"/>
    <w:rsid w:val="3D7D1865"/>
    <w:rsid w:val="3ED27DBD"/>
    <w:rsid w:val="3F0C0676"/>
    <w:rsid w:val="3F141141"/>
    <w:rsid w:val="3F5A3C2F"/>
    <w:rsid w:val="3F724603"/>
    <w:rsid w:val="3FC76EA6"/>
    <w:rsid w:val="40244897"/>
    <w:rsid w:val="40504E9C"/>
    <w:rsid w:val="4090448B"/>
    <w:rsid w:val="4185378C"/>
    <w:rsid w:val="430A4B18"/>
    <w:rsid w:val="431E490D"/>
    <w:rsid w:val="4384772F"/>
    <w:rsid w:val="43850177"/>
    <w:rsid w:val="43865400"/>
    <w:rsid w:val="44362561"/>
    <w:rsid w:val="443B2D53"/>
    <w:rsid w:val="445341F2"/>
    <w:rsid w:val="44834750"/>
    <w:rsid w:val="44DB2ACE"/>
    <w:rsid w:val="458849D3"/>
    <w:rsid w:val="45A06791"/>
    <w:rsid w:val="45B1292D"/>
    <w:rsid w:val="45BF74A8"/>
    <w:rsid w:val="45CD38CF"/>
    <w:rsid w:val="462E307C"/>
    <w:rsid w:val="464072B5"/>
    <w:rsid w:val="464D21B7"/>
    <w:rsid w:val="46CA635B"/>
    <w:rsid w:val="489A6F14"/>
    <w:rsid w:val="494B597C"/>
    <w:rsid w:val="498072FA"/>
    <w:rsid w:val="49962324"/>
    <w:rsid w:val="49ED0155"/>
    <w:rsid w:val="4A5D3697"/>
    <w:rsid w:val="4AFC6247"/>
    <w:rsid w:val="4B704D15"/>
    <w:rsid w:val="4B8F5D2D"/>
    <w:rsid w:val="4B9A22C6"/>
    <w:rsid w:val="4C0C0983"/>
    <w:rsid w:val="4C2E0DCB"/>
    <w:rsid w:val="4C641BFC"/>
    <w:rsid w:val="4C726569"/>
    <w:rsid w:val="4CB37C08"/>
    <w:rsid w:val="4CC874F6"/>
    <w:rsid w:val="4CD60537"/>
    <w:rsid w:val="4CDB1144"/>
    <w:rsid w:val="4D47054C"/>
    <w:rsid w:val="4D516231"/>
    <w:rsid w:val="4D6E4265"/>
    <w:rsid w:val="4D7E702B"/>
    <w:rsid w:val="4D94083B"/>
    <w:rsid w:val="4D983388"/>
    <w:rsid w:val="4E4F369A"/>
    <w:rsid w:val="4E6A7538"/>
    <w:rsid w:val="4EDA6221"/>
    <w:rsid w:val="4F2E243F"/>
    <w:rsid w:val="4FDF2564"/>
    <w:rsid w:val="501523A2"/>
    <w:rsid w:val="504174FC"/>
    <w:rsid w:val="50571C9F"/>
    <w:rsid w:val="50AB003F"/>
    <w:rsid w:val="50CF4503"/>
    <w:rsid w:val="50D37C15"/>
    <w:rsid w:val="511D019F"/>
    <w:rsid w:val="511D18C9"/>
    <w:rsid w:val="51370654"/>
    <w:rsid w:val="51542C8D"/>
    <w:rsid w:val="516234FD"/>
    <w:rsid w:val="51656886"/>
    <w:rsid w:val="516A1B63"/>
    <w:rsid w:val="51B81737"/>
    <w:rsid w:val="51D77030"/>
    <w:rsid w:val="52353A0A"/>
    <w:rsid w:val="524C608B"/>
    <w:rsid w:val="52D85750"/>
    <w:rsid w:val="52FB18C6"/>
    <w:rsid w:val="531072F0"/>
    <w:rsid w:val="53213E80"/>
    <w:rsid w:val="53FE3E0A"/>
    <w:rsid w:val="543142CF"/>
    <w:rsid w:val="55286E22"/>
    <w:rsid w:val="556E6581"/>
    <w:rsid w:val="5588677D"/>
    <w:rsid w:val="560317C0"/>
    <w:rsid w:val="560E14B9"/>
    <w:rsid w:val="561F720E"/>
    <w:rsid w:val="566F4A58"/>
    <w:rsid w:val="5712150D"/>
    <w:rsid w:val="57A3633F"/>
    <w:rsid w:val="57B27F05"/>
    <w:rsid w:val="57CF58DB"/>
    <w:rsid w:val="57DC33A7"/>
    <w:rsid w:val="58215343"/>
    <w:rsid w:val="584F10D8"/>
    <w:rsid w:val="5854171D"/>
    <w:rsid w:val="587561D1"/>
    <w:rsid w:val="58D01EBB"/>
    <w:rsid w:val="58F61D44"/>
    <w:rsid w:val="596B3D20"/>
    <w:rsid w:val="597D2244"/>
    <w:rsid w:val="59F3439B"/>
    <w:rsid w:val="5A0D30B4"/>
    <w:rsid w:val="5A2A3F59"/>
    <w:rsid w:val="5A483FF8"/>
    <w:rsid w:val="5B0C693A"/>
    <w:rsid w:val="5B1E3B4B"/>
    <w:rsid w:val="5B3429A4"/>
    <w:rsid w:val="5B7928AC"/>
    <w:rsid w:val="5B9C5C45"/>
    <w:rsid w:val="5C0C1983"/>
    <w:rsid w:val="5C146507"/>
    <w:rsid w:val="5C6340A3"/>
    <w:rsid w:val="5C8556D4"/>
    <w:rsid w:val="5C9C6DF2"/>
    <w:rsid w:val="5C9D087A"/>
    <w:rsid w:val="5D1458EA"/>
    <w:rsid w:val="5D35760E"/>
    <w:rsid w:val="5D5840D6"/>
    <w:rsid w:val="5D8A2234"/>
    <w:rsid w:val="5DA37A9B"/>
    <w:rsid w:val="5DE96312"/>
    <w:rsid w:val="5E334000"/>
    <w:rsid w:val="5E69296F"/>
    <w:rsid w:val="5ED50225"/>
    <w:rsid w:val="5F1F0240"/>
    <w:rsid w:val="5F562BF3"/>
    <w:rsid w:val="603F5402"/>
    <w:rsid w:val="60603B12"/>
    <w:rsid w:val="60B0413F"/>
    <w:rsid w:val="60D818B2"/>
    <w:rsid w:val="614C422E"/>
    <w:rsid w:val="615A0A76"/>
    <w:rsid w:val="619135C2"/>
    <w:rsid w:val="621C7880"/>
    <w:rsid w:val="628A4E55"/>
    <w:rsid w:val="6295412E"/>
    <w:rsid w:val="62D04AAA"/>
    <w:rsid w:val="63381C06"/>
    <w:rsid w:val="64037383"/>
    <w:rsid w:val="64126E1E"/>
    <w:rsid w:val="642E2243"/>
    <w:rsid w:val="6469630A"/>
    <w:rsid w:val="648B4CC0"/>
    <w:rsid w:val="64A2179B"/>
    <w:rsid w:val="654B7F44"/>
    <w:rsid w:val="65B55598"/>
    <w:rsid w:val="65F77B57"/>
    <w:rsid w:val="65FF3AA9"/>
    <w:rsid w:val="660031E4"/>
    <w:rsid w:val="660F3D1F"/>
    <w:rsid w:val="66152ACA"/>
    <w:rsid w:val="663250C1"/>
    <w:rsid w:val="66BF5DFC"/>
    <w:rsid w:val="66EF5BAF"/>
    <w:rsid w:val="675A157F"/>
    <w:rsid w:val="677909F1"/>
    <w:rsid w:val="679962D7"/>
    <w:rsid w:val="67F91D07"/>
    <w:rsid w:val="683F44C5"/>
    <w:rsid w:val="68B44D24"/>
    <w:rsid w:val="696D41C4"/>
    <w:rsid w:val="69BF1317"/>
    <w:rsid w:val="69D22FDA"/>
    <w:rsid w:val="69ED05F9"/>
    <w:rsid w:val="6B263ACF"/>
    <w:rsid w:val="6B73602A"/>
    <w:rsid w:val="6B8B6CF1"/>
    <w:rsid w:val="6BDF6CC4"/>
    <w:rsid w:val="6C1660AA"/>
    <w:rsid w:val="6C21592D"/>
    <w:rsid w:val="6C234574"/>
    <w:rsid w:val="6C4142CA"/>
    <w:rsid w:val="6DC3711E"/>
    <w:rsid w:val="6E231488"/>
    <w:rsid w:val="6E7E2016"/>
    <w:rsid w:val="6F0452B4"/>
    <w:rsid w:val="6F4C6B46"/>
    <w:rsid w:val="70905002"/>
    <w:rsid w:val="70BB7C71"/>
    <w:rsid w:val="717D0E42"/>
    <w:rsid w:val="719F75B5"/>
    <w:rsid w:val="71B400B8"/>
    <w:rsid w:val="71BF5D6D"/>
    <w:rsid w:val="72516F6C"/>
    <w:rsid w:val="72EF1566"/>
    <w:rsid w:val="73412F53"/>
    <w:rsid w:val="73437FCE"/>
    <w:rsid w:val="73B30FC6"/>
    <w:rsid w:val="74592D34"/>
    <w:rsid w:val="748443E4"/>
    <w:rsid w:val="74D77289"/>
    <w:rsid w:val="74F952E5"/>
    <w:rsid w:val="753F15A0"/>
    <w:rsid w:val="75483F2B"/>
    <w:rsid w:val="75A628C9"/>
    <w:rsid w:val="75B36462"/>
    <w:rsid w:val="76065B98"/>
    <w:rsid w:val="763F7413"/>
    <w:rsid w:val="76861D4C"/>
    <w:rsid w:val="76B27622"/>
    <w:rsid w:val="77740E18"/>
    <w:rsid w:val="780A371A"/>
    <w:rsid w:val="781101C0"/>
    <w:rsid w:val="7824373B"/>
    <w:rsid w:val="7831103D"/>
    <w:rsid w:val="784521A0"/>
    <w:rsid w:val="786755ED"/>
    <w:rsid w:val="788D1579"/>
    <w:rsid w:val="79156F08"/>
    <w:rsid w:val="79220BB1"/>
    <w:rsid w:val="79936676"/>
    <w:rsid w:val="79A52F07"/>
    <w:rsid w:val="7A6F2A3A"/>
    <w:rsid w:val="7A8A0B42"/>
    <w:rsid w:val="7B541151"/>
    <w:rsid w:val="7B851976"/>
    <w:rsid w:val="7B9A12F6"/>
    <w:rsid w:val="7BBB15F0"/>
    <w:rsid w:val="7BD4353D"/>
    <w:rsid w:val="7BE772BD"/>
    <w:rsid w:val="7C07A0F5"/>
    <w:rsid w:val="7C0E057E"/>
    <w:rsid w:val="7C5311B3"/>
    <w:rsid w:val="7CDB7433"/>
    <w:rsid w:val="7D0F22FE"/>
    <w:rsid w:val="7D460711"/>
    <w:rsid w:val="7D717185"/>
    <w:rsid w:val="7D7635FF"/>
    <w:rsid w:val="7D8111E0"/>
    <w:rsid w:val="7DB10E50"/>
    <w:rsid w:val="7E172803"/>
    <w:rsid w:val="7EC13FAE"/>
    <w:rsid w:val="7ED07496"/>
    <w:rsid w:val="7F152E80"/>
    <w:rsid w:val="7F207CC7"/>
    <w:rsid w:val="7F3D3C2E"/>
    <w:rsid w:val="7F770BAF"/>
    <w:rsid w:val="7FA92E56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numPr>
        <w:ilvl w:val="0"/>
        <w:numId w:val="1"/>
      </w:numPr>
      <w:spacing w:line="560" w:lineRule="exact"/>
      <w:outlineLvl w:val="1"/>
    </w:pPr>
    <w:rPr>
      <w:rFonts w:ascii="方正黑体简体" w:hAnsi="方正黑体简体" w:eastAsia="方正黑体简体"/>
      <w:sz w:val="32"/>
      <w:szCs w:val="22"/>
    </w:rPr>
  </w:style>
  <w:style w:type="paragraph" w:styleId="4">
    <w:name w:val="heading 3"/>
    <w:basedOn w:val="1"/>
    <w:next w:val="1"/>
    <w:link w:val="20"/>
    <w:autoRedefine/>
    <w:unhideWhenUsed/>
    <w:qFormat/>
    <w:uiPriority w:val="9"/>
    <w:pPr>
      <w:keepNext/>
      <w:keepLines/>
      <w:numPr>
        <w:ilvl w:val="0"/>
        <w:numId w:val="2"/>
      </w:numPr>
      <w:tabs>
        <w:tab w:val="left" w:pos="0"/>
      </w:tabs>
      <w:spacing w:line="560" w:lineRule="exact"/>
      <w:outlineLvl w:val="2"/>
    </w:pPr>
    <w:rPr>
      <w:rFonts w:ascii="方正楷体简体" w:hAnsi="方正楷体简体" w:eastAsia="方正楷体简体"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6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6">
    <w:name w:val="header"/>
    <w:basedOn w:val="1"/>
    <w:link w:val="15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table" w:styleId="9">
    <w:name w:val="Table Grid"/>
    <w:basedOn w:val="8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autoRedefine/>
    <w:qFormat/>
    <w:uiPriority w:val="22"/>
    <w:rPr>
      <w:b/>
      <w:bCs/>
    </w:rPr>
  </w:style>
  <w:style w:type="character" w:styleId="12">
    <w:name w:val="FollowedHyperlink"/>
    <w:basedOn w:val="10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Emphasis"/>
    <w:basedOn w:val="10"/>
    <w:autoRedefine/>
    <w:qFormat/>
    <w:uiPriority w:val="20"/>
    <w:rPr>
      <w:i/>
      <w:iCs/>
    </w:rPr>
  </w:style>
  <w:style w:type="character" w:styleId="14">
    <w:name w:val="Hyperlink"/>
    <w:basedOn w:val="10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页眉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16">
    <w:name w:val="页脚 字符"/>
    <w:basedOn w:val="10"/>
    <w:link w:val="5"/>
    <w:autoRedefine/>
    <w:qFormat/>
    <w:uiPriority w:val="99"/>
    <w:rPr>
      <w:sz w:val="18"/>
      <w:szCs w:val="18"/>
    </w:rPr>
  </w:style>
  <w:style w:type="character" w:customStyle="1" w:styleId="17">
    <w:name w:val="未处理的提及1"/>
    <w:basedOn w:val="10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未处理的提及2"/>
    <w:basedOn w:val="10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">
    <w:name w:val="标题 3 字符"/>
    <w:link w:val="4"/>
    <w:autoRedefine/>
    <w:qFormat/>
    <w:uiPriority w:val="0"/>
    <w:rPr>
      <w:rFonts w:ascii="方正楷体简体" w:hAnsi="方正楷体简体" w:eastAsia="方正楷体简体"/>
      <w:sz w:val="32"/>
    </w:rPr>
  </w:style>
  <w:style w:type="table" w:customStyle="1" w:styleId="2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">
    <w:name w:val="未处理的提及3"/>
    <w:basedOn w:val="10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2137</Words>
  <Characters>2533</Characters>
  <Lines>19</Lines>
  <Paragraphs>5</Paragraphs>
  <TotalTime>0</TotalTime>
  <ScaleCrop>false</ScaleCrop>
  <LinksUpToDate>false</LinksUpToDate>
  <CharactersWithSpaces>2581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2024-09-24T13:53:00Z</dcterms:created>
  <dc:creator>张 斌</dc:creator>
  <cp:lastModifiedBy>金阳</cp:lastModifiedBy>
  <cp:lastPrinted>2023-02-10T11:47:00Z</cp:lastPrinted>
  <dcterms:modified xsi:type="dcterms:W3CDTF">2024-09-25T09:09:12Z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63BE86E9D98F46F0B5CF5A3CC19F55B5_13</vt:lpwstr>
  </property>
  <property fmtid="{D5CDD505-2E9C-101B-9397-08002B2CF9AE}" pid="4" name="_IPGFID">
    <vt:lpwstr>[DocID]=CF78A3D1-0B5C-44F2-A612-FCF095A6D655</vt:lpwstr>
  </property>
</Properties>
</file>