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B899B">
      <w:pPr>
        <w:pStyle w:val="2"/>
        <w:widowControl/>
        <w:spacing w:beforeAutospacing="0" w:afterAutospacing="0" w:line="560" w:lineRule="exact"/>
        <w:jc w:val="lef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29：</w:t>
      </w:r>
    </w:p>
    <w:p w14:paraId="795AACC9">
      <w:pPr>
        <w:pStyle w:val="2"/>
        <w:widowControl/>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“低成本二氧化碳捕集利用一体化技术研究”</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26A3A50A">
      <w:pPr>
        <w:jc w:val="center"/>
        <w:rPr>
          <w:rFonts w:ascii="Times New Roman" w:hAnsi="Times New Roman" w:eastAsia="楷体_GB2312" w:cs="楷体_GB2312"/>
          <w:color w:val="000000" w:themeColor="text1"/>
          <w:kern w:val="0"/>
          <w:sz w:val="32"/>
          <w:szCs w:val="32"/>
          <w14:textFill>
            <w14:solidFill>
              <w14:schemeClr w14:val="tx1"/>
            </w14:solidFill>
          </w14:textFill>
        </w:rPr>
      </w:pPr>
      <w:r>
        <w:rPr>
          <w:rFonts w:hint="eastAsia" w:ascii="Times New Roman" w:hAnsi="Times New Roman" w:eastAsia="楷体_GB2312" w:cs="楷体_GB2312"/>
          <w:color w:val="000000" w:themeColor="text1"/>
          <w:kern w:val="0"/>
          <w:sz w:val="32"/>
          <w:szCs w:val="32"/>
          <w14:textFill>
            <w14:solidFill>
              <w14:schemeClr w14:val="tx1"/>
            </w14:solidFill>
          </w14:textFill>
        </w:rPr>
        <w:t>（北京低碳清洁能源研究院）</w:t>
      </w:r>
    </w:p>
    <w:p w14:paraId="6EFF3A96">
      <w:pPr>
        <w:spacing w:line="640" w:lineRule="exact"/>
        <w:rPr>
          <w:rFonts w:ascii="Times New Roman" w:hAnsi="Times New Roman" w:eastAsia="方正楷体_GBK" w:cs="方正楷体_GBK"/>
          <w:bCs/>
          <w:sz w:val="32"/>
          <w:szCs w:val="32"/>
        </w:rPr>
      </w:pPr>
    </w:p>
    <w:p w14:paraId="5077710C">
      <w:pPr>
        <w:keepNext/>
        <w:keepLines/>
        <w:widowControl/>
        <w:ind w:firstLine="640" w:firstLineChars="200"/>
        <w:outlineLvl w:val="1"/>
        <w:rPr>
          <w:rFonts w:ascii="Times New Roman" w:hAnsi="Times New Roman" w:eastAsia="黑体" w:cs="黑体"/>
          <w:color w:val="000000"/>
          <w:kern w:val="0"/>
          <w:sz w:val="32"/>
          <w:szCs w:val="22"/>
        </w:rPr>
      </w:pPr>
      <w:bookmarkStart w:id="0" w:name="_Hlk177807638"/>
      <w:r>
        <w:rPr>
          <w:rFonts w:hint="eastAsia" w:ascii="Times New Roman" w:hAnsi="Times New Roman" w:eastAsia="黑体" w:cs="黑体"/>
          <w:color w:val="000000"/>
          <w:kern w:val="0"/>
          <w:sz w:val="32"/>
          <w:szCs w:val="22"/>
        </w:rPr>
        <w:t>一、出题单位</w:t>
      </w:r>
    </w:p>
    <w:bookmarkEnd w:id="0"/>
    <w:p w14:paraId="1138AA36">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ascii="Times New Roman" w:hAnsi="Times New Roman" w:eastAsia="仿宋_GB2312" w:cs="仿宋_GB2312"/>
          <w:color w:val="000000" w:themeColor="text1"/>
          <w:kern w:val="0"/>
          <w:sz w:val="32"/>
          <w:szCs w:val="32"/>
          <w14:textFill>
            <w14:solidFill>
              <w14:schemeClr w14:val="tx1"/>
            </w14:solidFill>
          </w14:textFill>
        </w:rPr>
        <w:t>北京低碳清洁能源研究院</w:t>
      </w:r>
    </w:p>
    <w:p w14:paraId="45E68CB8">
      <w:pPr>
        <w:pStyle w:val="3"/>
        <w:widowControl/>
        <w:spacing w:before="0" w:after="0" w:line="240" w:lineRule="auto"/>
        <w:ind w:firstLine="640" w:firstLineChars="200"/>
        <w:rPr>
          <w:rFonts w:ascii="Times New Roman" w:hAnsi="Times New Roman" w:cs="黑体"/>
          <w:b w:val="0"/>
          <w:color w:val="000000" w:themeColor="text1"/>
          <w:kern w:val="0"/>
          <w:szCs w:val="22"/>
          <w14:textFill>
            <w14:solidFill>
              <w14:schemeClr w14:val="tx1"/>
            </w14:solidFill>
          </w14:textFill>
        </w:rPr>
      </w:pPr>
      <w:r>
        <w:rPr>
          <w:rFonts w:hint="eastAsia" w:ascii="Times New Roman" w:hAnsi="Times New Roman" w:cs="黑体"/>
          <w:b w:val="0"/>
          <w:color w:val="000000" w:themeColor="text1"/>
          <w:kern w:val="0"/>
          <w:szCs w:val="22"/>
          <w14:textFill>
            <w14:solidFill>
              <w14:schemeClr w14:val="tx1"/>
            </w14:solidFill>
          </w14:textFill>
        </w:rPr>
        <w:t>二、题目名称</w:t>
      </w:r>
    </w:p>
    <w:p w14:paraId="38B1440A">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低成本二氧化碳捕集利用一体化技术研究</w:t>
      </w:r>
    </w:p>
    <w:p w14:paraId="038BFB45">
      <w:pPr>
        <w:pStyle w:val="3"/>
        <w:widowControl/>
        <w:spacing w:before="0" w:after="0" w:line="240" w:lineRule="auto"/>
        <w:ind w:firstLine="640" w:firstLineChars="200"/>
        <w:rPr>
          <w:rFonts w:ascii="Times New Roman" w:hAnsi="Times New Roman" w:cs="黑体"/>
          <w:b w:val="0"/>
          <w:color w:val="000000" w:themeColor="text1"/>
          <w:kern w:val="0"/>
          <w:szCs w:val="22"/>
          <w14:textFill>
            <w14:solidFill>
              <w14:schemeClr w14:val="tx1"/>
            </w14:solidFill>
          </w14:textFill>
        </w:rPr>
      </w:pPr>
      <w:r>
        <w:rPr>
          <w:rFonts w:hint="eastAsia" w:ascii="Times New Roman" w:hAnsi="Times New Roman" w:cs="黑体"/>
          <w:b w:val="0"/>
          <w:color w:val="000000" w:themeColor="text1"/>
          <w:kern w:val="0"/>
          <w:szCs w:val="22"/>
          <w14:textFill>
            <w14:solidFill>
              <w14:schemeClr w14:val="tx1"/>
            </w14:solidFill>
          </w14:textFill>
        </w:rPr>
        <w:t>三、题目介绍</w:t>
      </w:r>
    </w:p>
    <w:p w14:paraId="2C332C0E">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ascii="Times New Roman" w:hAnsi="Times New Roman" w:eastAsia="仿宋_GB2312" w:cs="仿宋_GB2312"/>
          <w:color w:val="000000" w:themeColor="text1"/>
          <w:kern w:val="0"/>
          <w:sz w:val="32"/>
          <w:szCs w:val="32"/>
          <w14:textFill>
            <w14:solidFill>
              <w14:schemeClr w14:val="tx1"/>
            </w14:solidFill>
          </w14:textFill>
        </w:rPr>
        <w:t>1.题目内容</w:t>
      </w:r>
    </w:p>
    <w:p w14:paraId="422DF272">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双碳目标之下，二氧化碳捕集、利用与封存技术（CCUS）被视为实现碳中和的关键技术之一，但成本过高制约了该技术大规模推广。近年来新涌现的二氧化碳捕集与利用技术（ICCU）则实现了二氧化碳的捕集和利用转化，可以省去二氧化碳再生运输等环节，有望降低CCUS成本和风险，具有较大应用潜力。本项目希望合成一种低成本的碳捕集与利用（ICCU）催化剂，实现二氧化碳合成化工产品，为实现二氧化碳捕集利用提供新思路。具体的技术指标包括催化剂批量制备成本、系统能耗指标、CO2转化率和产物选择性。</w:t>
      </w:r>
    </w:p>
    <w:p w14:paraId="77BAE5B0">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选题意义</w:t>
      </w:r>
    </w:p>
    <w:p w14:paraId="580A8ED1">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（1）</w:t>
      </w:r>
      <w:r>
        <w:rPr>
          <w:rFonts w:ascii="Times New Roman" w:hAnsi="Times New Roman" w:eastAsia="仿宋_GB2312" w:cs="仿宋_GB2312"/>
          <w:color w:val="000000" w:themeColor="text1"/>
          <w:kern w:val="0"/>
          <w:sz w:val="32"/>
          <w:szCs w:val="32"/>
          <w14:textFill>
            <w14:solidFill>
              <w14:schemeClr w14:val="tx1"/>
            </w14:solidFill>
          </w14:textFill>
        </w:rPr>
        <w:t>技术意义</w:t>
      </w:r>
    </w:p>
    <w:p w14:paraId="2815C7C3">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二氧化碳捕集、利用与封存（CCUS）是我国实现碳中和目标不可或缺的关键技术，CO2资源化利用作为CCUS技术的重要组成部分，在碳中和过程中将扮演重要角色，传统的CCU技术需将捕集后的高纯度CO2再进行利用，包含了CO2捕集和利用两个过程，面临能耗高、成本高等问题，阻碍了工业化应用。CO2捕集利用一体化技术将CO2捕集和转化结合在一起，避免了因CO2吸收/吸附后再进行解吸的高耗能过程，直接实现结合态的CO2进行原位转化，有望显著降低CCU的成本。本项目从CO2捕集利用一体化关键材料设计合成角度切入，突破现有CO2分步捕集和利用的瓶颈，寻求低成本的捕集利用一体化技术，有望推动该技术工业化应用。</w:t>
      </w:r>
    </w:p>
    <w:p w14:paraId="669D4387">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（2）</w:t>
      </w:r>
      <w:r>
        <w:rPr>
          <w:rFonts w:ascii="Times New Roman" w:hAnsi="Times New Roman" w:eastAsia="仿宋_GB2312" w:cs="仿宋_GB2312"/>
          <w:color w:val="000000" w:themeColor="text1"/>
          <w:kern w:val="0"/>
          <w:sz w:val="32"/>
          <w:szCs w:val="32"/>
          <w14:textFill>
            <w14:solidFill>
              <w14:schemeClr w14:val="tx1"/>
            </w14:solidFill>
          </w14:textFill>
        </w:rPr>
        <w:t>社会意义</w:t>
      </w:r>
    </w:p>
    <w:p w14:paraId="3A347B05">
      <w:pPr>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在全球变暖的大背景下，欧盟等重要组织逐步推动碳市场建立、征收碳税。掌握碳减排的核心技术除了有着重要的环境意义，也对提高国内产品在国际市场的竞争力，推动中国在碳市场中掌握话语权有重大意义。同时，若能实现二氧化碳成熟的资源化利用，也为国内的化工产业的原材料提供多样途径。ICCU技术具有优异的CO2捕集和转化效率，降低捕集单元能耗的同时可以制备高附加值化学品，有效缓解环境问题，实现碳资源的充分利用，在节能降碳增效方面具有重要意义。该技术目前还处于实验室及小试研究阶段，通过专题竞赛的方式，有助于激发大学生在该领域的研究热情，提供更多的碳中和原创性前沿技术思路。</w:t>
      </w:r>
    </w:p>
    <w:p w14:paraId="0A6034A7">
      <w:pPr>
        <w:keepNext/>
        <w:keepLines/>
        <w:widowControl/>
        <w:ind w:firstLine="640" w:firstLineChars="200"/>
        <w:outlineLvl w:val="1"/>
        <w:rPr>
          <w:rFonts w:ascii="Times New Roman" w:hAnsi="Times New Roman" w:eastAsia="黑体" w:cs="黑体"/>
          <w:color w:val="000000"/>
          <w:kern w:val="0"/>
          <w:sz w:val="32"/>
          <w:szCs w:val="22"/>
        </w:rPr>
      </w:pPr>
      <w:bookmarkStart w:id="1" w:name="_Hlk177808698"/>
      <w:r>
        <w:rPr>
          <w:rFonts w:hint="eastAsia" w:ascii="Times New Roman" w:hAnsi="Times New Roman" w:eastAsia="黑体" w:cs="黑体"/>
          <w:color w:val="000000"/>
          <w:kern w:val="0"/>
          <w:sz w:val="32"/>
          <w:szCs w:val="22"/>
        </w:rPr>
        <w:t>四、参赛对象</w:t>
      </w:r>
    </w:p>
    <w:p w14:paraId="27D0A93C">
      <w:pPr>
        <w:widowControl/>
        <w:spacing w:line="560" w:lineRule="exact"/>
        <w:ind w:firstLine="640" w:firstLineChars="200"/>
        <w:jc w:val="left"/>
        <w:rPr>
          <w:rFonts w:ascii="Times New Roman" w:hAnsi="Times New Roman" w:eastAsia="仿宋_GB2312" w:cs="仿宋_GB2312"/>
          <w:kern w:val="0"/>
          <w:sz w:val="32"/>
          <w:szCs w:val="32"/>
        </w:rPr>
      </w:pPr>
      <w:bookmarkStart w:id="2" w:name="_Hlk177807919"/>
      <w:r>
        <w:rPr>
          <w:rFonts w:hint="eastAsia" w:ascii="Times New Roman" w:hAnsi="Times New Roman" w:eastAsia="仿宋_GB2312" w:cs="仿宋_GB2312"/>
          <w:kern w:val="0"/>
          <w:sz w:val="32"/>
          <w:szCs w:val="32"/>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0AF92FFA">
      <w:pPr>
        <w:widowControl/>
        <w:spacing w:line="560" w:lineRule="exact"/>
        <w:ind w:firstLine="640" w:firstLineChars="200"/>
        <w:jc w:val="left"/>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14B240BF">
      <w:pPr>
        <w:widowControl/>
        <w:spacing w:line="560" w:lineRule="exact"/>
        <w:ind w:firstLine="640" w:firstLineChars="200"/>
        <w:jc w:val="left"/>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毕业设计和课程设计（论文）、学年论文和学位论文、国际竞赛中获奖的作品、获国家级奖励成果（含本竞赛主办单位参与举办的其他全国性竞赛的获奖作品）等均不在申报范围之列。</w:t>
      </w:r>
    </w:p>
    <w:p w14:paraId="156A9856">
      <w:pPr>
        <w:widowControl/>
        <w:spacing w:line="560" w:lineRule="exact"/>
        <w:ind w:firstLine="640" w:firstLineChars="200"/>
        <w:jc w:val="left"/>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每件作品仅可由1个学院推报，学院在推报前要对参赛团队成员及作品进行相关资格审查。</w:t>
      </w:r>
    </w:p>
    <w:p w14:paraId="3562D084">
      <w:pPr>
        <w:widowControl/>
        <w:spacing w:line="560" w:lineRule="exact"/>
        <w:ind w:firstLine="640" w:firstLineChars="200"/>
        <w:jc w:val="left"/>
        <w:rPr>
          <w:rFonts w:ascii="Times New Roman" w:hAnsi="Times New Roman" w:eastAsia="仿宋_GB2312" w:cs="仿宋_GB2312"/>
          <w:kern w:val="0"/>
          <w:sz w:val="32"/>
          <w:szCs w:val="32"/>
        </w:rPr>
      </w:pPr>
      <w:r>
        <w:rPr>
          <w:rFonts w:hint="eastAsia" w:ascii="Times New Roman" w:hAnsi="Times New Roman" w:eastAsia="仿宋_GB2312" w:cs="仿宋_GB2312"/>
          <w:kern w:val="0"/>
          <w:sz w:val="32"/>
          <w:szCs w:val="32"/>
        </w:rPr>
        <w:t>每个学院选送参加专项赛的作品数量不设限制，同一作品不得同时参加第二十四届“创新杯”大学生课外学术科技作品竞赛和第二十四届“创新杯”</w:t>
      </w:r>
      <w:r>
        <w:rPr>
          <w:rFonts w:ascii="Times New Roman" w:hAnsi="Times New Roman" w:eastAsia="仿宋_GB2312" w:cs="Times New Roman"/>
          <w:color w:val="333333"/>
          <w:kern w:val="0"/>
          <w:sz w:val="32"/>
          <w:szCs w:val="28"/>
          <w:shd w:val="clear" w:color="auto" w:fill="FFFFFF"/>
          <w:lang w:val="en-GB" w:bidi="ar"/>
        </w:rPr>
        <w:t>大学生创业计划竞赛</w:t>
      </w:r>
      <w:r>
        <w:rPr>
          <w:rFonts w:hint="eastAsia" w:ascii="Times New Roman" w:hAnsi="Times New Roman" w:eastAsia="仿宋_GB2312" w:cs="仿宋_GB2312"/>
          <w:kern w:val="0"/>
          <w:sz w:val="32"/>
          <w:szCs w:val="32"/>
        </w:rPr>
        <w:t>。已参加第十九届“挑战杯”全国大学生课外学术科技作品竞赛2024年度“揭榜挂帅”专项赛的作品可以继续参加第二十四届“创新杯”揭榜挂帅专项赛。</w:t>
      </w:r>
    </w:p>
    <w:bookmarkEnd w:id="1"/>
    <w:bookmarkEnd w:id="2"/>
    <w:p w14:paraId="2AE6376A">
      <w:pPr>
        <w:pStyle w:val="3"/>
        <w:spacing w:before="0" w:after="0" w:line="560" w:lineRule="exact"/>
        <w:ind w:firstLine="640" w:firstLineChars="200"/>
        <w:rPr>
          <w:rFonts w:ascii="Times New Roman" w:hAnsi="Times New Roman" w:cs="黑体"/>
          <w:b w:val="0"/>
          <w:color w:val="000000" w:themeColor="text1"/>
          <w:kern w:val="0"/>
          <w:szCs w:val="22"/>
          <w14:textFill>
            <w14:solidFill>
              <w14:schemeClr w14:val="tx1"/>
            </w14:solidFill>
          </w14:textFill>
        </w:rPr>
      </w:pPr>
      <w:r>
        <w:rPr>
          <w:rFonts w:hint="eastAsia" w:ascii="Times New Roman" w:hAnsi="Times New Roman" w:cs="黑体"/>
          <w:b w:val="0"/>
          <w:color w:val="000000" w:themeColor="text1"/>
          <w:kern w:val="0"/>
          <w:szCs w:val="22"/>
          <w14:textFill>
            <w14:solidFill>
              <w14:schemeClr w14:val="tx1"/>
            </w14:solidFill>
          </w14:textFill>
        </w:rPr>
        <w:t>五、答题要求</w:t>
      </w:r>
    </w:p>
    <w:p w14:paraId="5CE8A0B8">
      <w:pPr>
        <w:widowControl/>
        <w:spacing w:line="560" w:lineRule="exact"/>
        <w:ind w:firstLine="640" w:firstLineChars="200"/>
        <w:rPr>
          <w:rFonts w:ascii="Times New Roman" w:hAnsi="Times New Roman" w:eastAsia="仿宋_GB2312" w:cs="仿宋_GB2312"/>
          <w:color w:val="000000" w:themeColor="text1"/>
          <w:kern w:val="0"/>
          <w:sz w:val="32"/>
          <w:szCs w:val="32"/>
          <w14:textFill>
            <w14:solidFill>
              <w14:schemeClr w14:val="tx1"/>
            </w14:solidFill>
          </w14:textFill>
        </w:rPr>
      </w:pPr>
      <w:r>
        <w:rPr>
          <w:rFonts w:hint="eastAsia" w:ascii="Times New Roman" w:hAnsi="Times New Roman" w:eastAsia="仿宋_GB2312" w:cs="仿宋_GB2312"/>
          <w:color w:val="000000" w:themeColor="text1"/>
          <w:kern w:val="0"/>
          <w:sz w:val="32"/>
          <w:szCs w:val="32"/>
          <w14:textFill>
            <w14:solidFill>
              <w14:schemeClr w14:val="tx1"/>
            </w14:solidFill>
          </w14:textFill>
        </w:rPr>
        <w:t>作品应包括碳捕集利用关键催化剂合成的具体路线及相关评价表征结果，应详细阐述材料合成的方法，结果具有可重复性，并对整个技术路线进行能耗或成本核算。催化剂评价结果必须包括ICCU过程碳捕集能力测试、产物转化率与选择性测试。</w:t>
      </w:r>
    </w:p>
    <w:p w14:paraId="636A8A0F">
      <w:pPr>
        <w:pStyle w:val="3"/>
        <w:widowControl/>
        <w:spacing w:before="0" w:after="0" w:line="240" w:lineRule="auto"/>
        <w:ind w:firstLine="640" w:firstLineChars="200"/>
        <w:rPr>
          <w:rFonts w:ascii="Times New Roman" w:hAnsi="Times New Roman" w:cs="黑体"/>
          <w:b w:val="0"/>
          <w:color w:val="000000" w:themeColor="text1"/>
          <w:kern w:val="0"/>
          <w:szCs w:val="22"/>
          <w14:textFill>
            <w14:solidFill>
              <w14:schemeClr w14:val="tx1"/>
            </w14:solidFill>
          </w14:textFill>
        </w:rPr>
      </w:pPr>
      <w:r>
        <w:rPr>
          <w:rFonts w:hint="eastAsia" w:ascii="Times New Roman" w:hAnsi="Times New Roman" w:cs="黑体"/>
          <w:b w:val="0"/>
          <w:color w:val="000000" w:themeColor="text1"/>
          <w:kern w:val="0"/>
          <w:szCs w:val="22"/>
          <w14:textFill>
            <w14:solidFill>
              <w14:schemeClr w14:val="tx1"/>
            </w14:solidFill>
          </w14:textFill>
        </w:rPr>
        <w:t>六、作品评选参考标准</w:t>
      </w:r>
    </w:p>
    <w:p w14:paraId="093F4BC7">
      <w:pPr>
        <w:widowControl/>
        <w:spacing w:line="560" w:lineRule="exact"/>
        <w:ind w:firstLine="640" w:firstLineChars="200"/>
        <w:jc w:val="left"/>
        <w:rPr>
          <w:rFonts w:ascii="Times New Roman" w:hAnsi="Times New Roman" w:eastAsia="仿宋_GB2312" w:cs="仿宋_GB2312"/>
          <w:color w:val="000000"/>
          <w:kern w:val="0"/>
          <w:sz w:val="32"/>
          <w:szCs w:val="32"/>
          <w:lang w:val="en-GB"/>
        </w:rPr>
      </w:pPr>
      <w:r>
        <w:rPr>
          <w:rFonts w:hint="eastAsia" w:ascii="Times New Roman" w:hAnsi="Times New Roman" w:eastAsia="仿宋_GB2312" w:cs="仿宋_GB2312"/>
          <w:color w:val="000000"/>
          <w:kern w:val="0"/>
          <w:sz w:val="32"/>
          <w:szCs w:val="32"/>
          <w:lang w:val="en-GB"/>
        </w:rPr>
        <w:t>作品完整性30分，独立完成双功能材料的开发；如未完成，按照完成度给予评定，最多不超过25分。</w:t>
      </w:r>
    </w:p>
    <w:p w14:paraId="5C4ABB1A">
      <w:pPr>
        <w:widowControl/>
        <w:spacing w:line="560" w:lineRule="exact"/>
        <w:ind w:firstLine="640" w:firstLineChars="200"/>
        <w:jc w:val="left"/>
        <w:rPr>
          <w:rFonts w:ascii="Times New Roman" w:hAnsi="Times New Roman" w:eastAsia="仿宋_GB2312" w:cs="仿宋_GB2312"/>
          <w:color w:val="000000"/>
          <w:kern w:val="0"/>
          <w:sz w:val="32"/>
          <w:szCs w:val="32"/>
          <w:lang w:val="en-GB"/>
        </w:rPr>
      </w:pPr>
      <w:r>
        <w:rPr>
          <w:rFonts w:hint="eastAsia" w:ascii="Times New Roman" w:hAnsi="Times New Roman" w:eastAsia="仿宋_GB2312" w:cs="仿宋_GB2312"/>
          <w:color w:val="000000"/>
          <w:kern w:val="0"/>
          <w:sz w:val="32"/>
          <w:szCs w:val="32"/>
          <w:lang w:val="en-GB"/>
        </w:rPr>
        <w:t>作品创新性20分，要求作品具有自主探索的有别于该领域其他技术的创新之处。</w:t>
      </w:r>
    </w:p>
    <w:p w14:paraId="39F8BBEC">
      <w:pPr>
        <w:widowControl/>
        <w:spacing w:line="560" w:lineRule="exact"/>
        <w:ind w:firstLine="640" w:firstLineChars="200"/>
        <w:jc w:val="left"/>
        <w:rPr>
          <w:rFonts w:ascii="Times New Roman" w:hAnsi="Times New Roman" w:eastAsia="仿宋_GB2312" w:cs="仿宋_GB2312"/>
          <w:color w:val="000000"/>
          <w:kern w:val="0"/>
          <w:sz w:val="32"/>
          <w:szCs w:val="32"/>
          <w:lang w:val="en-GB"/>
        </w:rPr>
      </w:pPr>
      <w:r>
        <w:rPr>
          <w:rFonts w:hint="eastAsia" w:ascii="Times New Roman" w:hAnsi="Times New Roman" w:eastAsia="仿宋_GB2312" w:cs="仿宋_GB2312"/>
          <w:color w:val="000000"/>
          <w:kern w:val="0"/>
          <w:sz w:val="32"/>
          <w:szCs w:val="32"/>
          <w:lang w:val="en-GB"/>
        </w:rPr>
        <w:t>指标完成度50分，要求关键催化剂/材料具备有实现工业应用潜力：多次循环二氧化碳处理能力、产物转化率与选择性的稳定性，以及相比于现有捕集、利用技术的能耗或成本优势。</w:t>
      </w:r>
    </w:p>
    <w:p w14:paraId="164E20A8">
      <w:pPr>
        <w:keepNext/>
        <w:keepLines/>
        <w:widowControl/>
        <w:ind w:firstLine="640" w:firstLineChars="200"/>
        <w:outlineLvl w:val="1"/>
        <w:rPr>
          <w:rFonts w:ascii="Times New Roman" w:hAnsi="Times New Roman" w:eastAsia="黑体" w:cs="黑体"/>
          <w:color w:val="000000"/>
          <w:kern w:val="0"/>
          <w:sz w:val="32"/>
          <w:szCs w:val="22"/>
        </w:rPr>
      </w:pPr>
      <w:bookmarkStart w:id="3" w:name="_Hlk177807040"/>
      <w:bookmarkStart w:id="4" w:name="_Hlk177808268"/>
      <w:r>
        <w:rPr>
          <w:rFonts w:hint="eastAsia" w:ascii="Times New Roman" w:hAnsi="Times New Roman" w:eastAsia="黑体" w:cs="黑体"/>
          <w:color w:val="000000"/>
          <w:kern w:val="0"/>
          <w:sz w:val="32"/>
          <w:szCs w:val="22"/>
        </w:rPr>
        <w:t>七、作品提交及评审安排</w:t>
      </w:r>
    </w:p>
    <w:bookmarkEnd w:id="3"/>
    <w:bookmarkEnd w:id="4"/>
    <w:p w14:paraId="25828C9B">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各学院于2024年10月前进行作品申报及其作者的资格及形式审查，并组成本学院评审委员会</w:t>
      </w:r>
      <w:r>
        <w:rPr>
          <w:rFonts w:hint="eastAsia" w:ascii="Times New Roman" w:hAnsi="Times New Roman" w:eastAsia="仿宋_GB2312" w:cs="仿宋_GB2312"/>
          <w:sz w:val="32"/>
          <w:szCs w:val="32"/>
          <w:lang w:val="en-US"/>
        </w:rPr>
        <w:t>。</w:t>
      </w:r>
    </w:p>
    <w:p w14:paraId="1C58DC25">
      <w:pPr>
        <w:spacing w:line="560" w:lineRule="exact"/>
        <w:ind w:firstLine="640" w:firstLineChars="200"/>
        <w:jc w:val="both"/>
        <w:rPr>
          <w:rFonts w:ascii="Times New Roman" w:hAnsi="Times New Roman" w:eastAsia="仿宋_GB2312" w:cs="仿宋_GB2312"/>
          <w:sz w:val="32"/>
          <w:szCs w:val="32"/>
          <w:lang w:val="en-US"/>
        </w:rPr>
      </w:pPr>
      <w:r>
        <w:rPr>
          <w:rFonts w:ascii="Times New Roman" w:hAnsi="Times New Roman" w:eastAsia="仿宋_GB2312" w:cs="仿宋_GB2312"/>
          <w:sz w:val="32"/>
          <w:szCs w:val="32"/>
          <w:lang w:val="en-US"/>
        </w:rPr>
        <w:t>各学院评审委员会于2024年1</w:t>
      </w:r>
      <w:r>
        <w:rPr>
          <w:rFonts w:hint="eastAsia" w:ascii="Times New Roman" w:hAnsi="Times New Roman" w:eastAsia="仿宋_GB2312" w:cs="仿宋_GB2312"/>
          <w:sz w:val="32"/>
          <w:szCs w:val="32"/>
          <w:lang w:val="en-US"/>
        </w:rPr>
        <w:t>0</w:t>
      </w:r>
      <w:r>
        <w:rPr>
          <w:rFonts w:ascii="Times New Roman" w:hAnsi="Times New Roman" w:eastAsia="仿宋_GB2312" w:cs="仿宋_GB2312"/>
          <w:sz w:val="32"/>
          <w:szCs w:val="32"/>
          <w:lang w:val="en-US"/>
        </w:rPr>
        <w:t>月底前完成对本学院申报作品的院级选拔赛，择优挑选作品，于2024年1</w:t>
      </w:r>
      <w:r>
        <w:rPr>
          <w:rFonts w:hint="eastAsia" w:ascii="Times New Roman" w:hAnsi="Times New Roman" w:eastAsia="仿宋_GB2312" w:cs="仿宋_GB2312"/>
          <w:sz w:val="32"/>
          <w:szCs w:val="32"/>
          <w:lang w:val="en-US"/>
        </w:rPr>
        <w:t>1</w:t>
      </w:r>
      <w:r>
        <w:rPr>
          <w:rFonts w:ascii="Times New Roman" w:hAnsi="Times New Roman" w:eastAsia="仿宋_GB2312" w:cs="仿宋_GB2312"/>
          <w:sz w:val="32"/>
          <w:szCs w:val="32"/>
          <w:lang w:val="en-US"/>
        </w:rPr>
        <w:t>月</w:t>
      </w:r>
      <w:r>
        <w:rPr>
          <w:rFonts w:hint="eastAsia" w:ascii="Times New Roman" w:hAnsi="Times New Roman" w:eastAsia="仿宋_GB2312" w:cs="仿宋_GB2312"/>
          <w:sz w:val="32"/>
          <w:szCs w:val="32"/>
          <w:lang w:val="en-US"/>
        </w:rPr>
        <w:t>8日前</w:t>
      </w:r>
      <w:r>
        <w:rPr>
          <w:rFonts w:ascii="Times New Roman" w:hAnsi="Times New Roman" w:eastAsia="仿宋_GB2312" w:cs="仿宋_GB2312"/>
          <w:sz w:val="32"/>
          <w:szCs w:val="32"/>
          <w:lang w:val="en-US"/>
        </w:rPr>
        <w:t>，向校组委会办公室（办公地点设在南湖校区立德楼团委403室）交送书面的作品申报书（附件</w:t>
      </w:r>
      <w:r>
        <w:rPr>
          <w:rFonts w:hint="eastAsia" w:ascii="Times New Roman" w:hAnsi="Times New Roman" w:eastAsia="仿宋_GB2312" w:cs="仿宋_GB2312"/>
          <w:sz w:val="32"/>
          <w:szCs w:val="32"/>
          <w:lang w:val="en-US" w:eastAsia="zh-CN"/>
        </w:rPr>
        <w:t>11</w:t>
      </w:r>
      <w:r>
        <w:rPr>
          <w:rFonts w:ascii="Times New Roman" w:hAnsi="Times New Roman" w:eastAsia="仿宋_GB2312" w:cs="仿宋_GB2312"/>
          <w:sz w:val="32"/>
          <w:szCs w:val="32"/>
          <w:lang w:val="en-US"/>
        </w:rPr>
        <w:t>）及作品汇总登记表（附件1</w:t>
      </w:r>
      <w:r>
        <w:rPr>
          <w:rFonts w:hint="eastAsia" w:ascii="Times New Roman" w:hAnsi="Times New Roman" w:eastAsia="仿宋_GB2312" w:cs="仿宋_GB2312"/>
          <w:sz w:val="32"/>
          <w:szCs w:val="32"/>
          <w:lang w:val="en-US" w:eastAsia="zh-CN"/>
        </w:rPr>
        <w:t>2</w:t>
      </w:r>
      <w:r>
        <w:rPr>
          <w:rFonts w:ascii="Times New Roman" w:hAnsi="Times New Roman" w:eastAsia="仿宋_GB2312" w:cs="仿宋_GB2312"/>
          <w:sz w:val="32"/>
          <w:szCs w:val="32"/>
          <w:lang w:val="en-US"/>
        </w:rPr>
        <w:t>），电子版发送至校科协邮箱</w:t>
      </w:r>
      <w:r>
        <w:rPr>
          <w:rFonts w:ascii="Times New Roman" w:hAnsi="Times New Roman" w:eastAsia="仿宋_GB2312"/>
          <w:sz w:val="32"/>
        </w:rPr>
        <w:fldChar w:fldCharType="begin"/>
      </w:r>
      <w:r>
        <w:rPr>
          <w:rFonts w:ascii="Times New Roman" w:hAnsi="Times New Roman" w:eastAsia="仿宋_GB2312"/>
          <w:sz w:val="32"/>
        </w:rPr>
        <w:instrText xml:space="preserve"> HYPERLINK "mailto:wutxskx@163.com。" </w:instrText>
      </w:r>
      <w:r>
        <w:rPr>
          <w:rFonts w:ascii="Times New Roman" w:hAnsi="Times New Roman" w:eastAsia="仿宋_GB2312"/>
          <w:sz w:val="32"/>
        </w:rPr>
        <w:fldChar w:fldCharType="separate"/>
      </w:r>
      <w:r>
        <w:rPr>
          <w:rStyle w:val="12"/>
          <w:rFonts w:ascii="Times New Roman" w:hAnsi="Times New Roman" w:eastAsia="仿宋_GB2312" w:cs="仿宋_GB2312"/>
          <w:sz w:val="32"/>
          <w:szCs w:val="32"/>
          <w:lang w:val="en-US"/>
        </w:rPr>
        <w:t>wutxskx@163.com。</w:t>
      </w:r>
      <w:r>
        <w:rPr>
          <w:rStyle w:val="12"/>
          <w:rFonts w:ascii="Times New Roman" w:hAnsi="Times New Roman" w:eastAsia="仿宋_GB2312" w:cs="仿宋_GB2312"/>
          <w:sz w:val="32"/>
          <w:szCs w:val="32"/>
          <w:lang w:val="en-US"/>
        </w:rPr>
        <w:fldChar w:fldCharType="end"/>
      </w:r>
    </w:p>
    <w:p w14:paraId="13D2CCC1">
      <w:pPr>
        <w:spacing w:line="560" w:lineRule="exact"/>
        <w:ind w:firstLine="640" w:firstLineChars="200"/>
        <w:jc w:val="both"/>
        <w:rPr>
          <w:rFonts w:hint="eastAsia" w:ascii="Times New Roman" w:hAnsi="Times New Roman" w:eastAsia="仿宋_GB2312" w:cs="仿宋_GB2312"/>
          <w:sz w:val="32"/>
          <w:szCs w:val="32"/>
        </w:rPr>
      </w:pPr>
      <w:r>
        <w:rPr>
          <w:rFonts w:ascii="Times New Roman" w:hAnsi="Times New Roman" w:eastAsia="仿宋_GB2312" w:cs="仿宋_GB2312"/>
          <w:sz w:val="32"/>
          <w:szCs w:val="32"/>
          <w:lang w:val="en-US"/>
        </w:rPr>
        <w:t>2024年11月</w:t>
      </w:r>
      <w:r>
        <w:rPr>
          <w:rFonts w:hint="eastAsia" w:ascii="Times New Roman" w:hAnsi="Times New Roman" w:eastAsia="仿宋_GB2312" w:cs="仿宋_GB2312"/>
          <w:sz w:val="32"/>
          <w:szCs w:val="32"/>
          <w:lang w:val="en-US"/>
        </w:rPr>
        <w:t>中旬</w:t>
      </w:r>
      <w:r>
        <w:rPr>
          <w:rFonts w:ascii="Times New Roman" w:hAnsi="Times New Roman" w:eastAsia="仿宋_GB2312" w:cs="仿宋_GB2312"/>
          <w:sz w:val="32"/>
          <w:szCs w:val="32"/>
          <w:lang w:val="en-US"/>
        </w:rPr>
        <w:t>至2024年12月</w:t>
      </w:r>
      <w:r>
        <w:rPr>
          <w:rFonts w:hint="eastAsia" w:ascii="Times New Roman" w:hAnsi="Times New Roman" w:eastAsia="仿宋_GB2312" w:cs="仿宋_GB2312"/>
          <w:sz w:val="32"/>
          <w:szCs w:val="32"/>
          <w:lang w:val="en-US"/>
        </w:rPr>
        <w:t>中旬，校评审委员会对作品进行书面评审</w:t>
      </w:r>
      <w:r>
        <w:rPr>
          <w:rFonts w:ascii="Times New Roman" w:hAnsi="Times New Roman" w:eastAsia="仿宋_GB2312" w:cs="仿宋_GB2312"/>
          <w:sz w:val="32"/>
          <w:szCs w:val="32"/>
          <w:lang w:val="en-US"/>
        </w:rPr>
        <w:t>、对入围终审决赛</w:t>
      </w:r>
      <w:bookmarkStart w:id="5" w:name="_GoBack"/>
      <w:bookmarkEnd w:id="5"/>
      <w:r>
        <w:rPr>
          <w:rFonts w:ascii="Times New Roman" w:hAnsi="Times New Roman" w:eastAsia="仿宋_GB2312" w:cs="仿宋_GB2312"/>
          <w:sz w:val="32"/>
          <w:szCs w:val="32"/>
          <w:lang w:val="en-US"/>
        </w:rPr>
        <w:t>项目进行公开答辩</w:t>
      </w:r>
      <w:r>
        <w:rPr>
          <w:rFonts w:hint="eastAsia" w:ascii="Times New Roman" w:hAnsi="Times New Roman"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altName w:val="微软雅黑"/>
    <w:panose1 w:val="00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EBA3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4AF1E">
                          <w:pPr>
                            <w:pStyle w:val="6"/>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1</w:t>
                          </w:r>
                          <w:r>
                            <w:rPr>
                              <w:rFonts w:ascii="Times New Roman" w:hAnsi="Times New Roman" w:cs="Times New Roman"/>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D34AF1E">
                    <w:pPr>
                      <w:pStyle w:val="6"/>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1</w:t>
                    </w:r>
                    <w:r>
                      <w:rPr>
                        <w:rFonts w:ascii="Times New Roman" w:hAnsi="Times New Roman" w:cs="Times New Roman"/>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005D256A"/>
    <w:rsid w:val="00165737"/>
    <w:rsid w:val="002C1FD8"/>
    <w:rsid w:val="00395602"/>
    <w:rsid w:val="003B6CCC"/>
    <w:rsid w:val="004663A9"/>
    <w:rsid w:val="005D256A"/>
    <w:rsid w:val="006262CC"/>
    <w:rsid w:val="006C2708"/>
    <w:rsid w:val="00751ADA"/>
    <w:rsid w:val="00954329"/>
    <w:rsid w:val="00B177F7"/>
    <w:rsid w:val="00B53248"/>
    <w:rsid w:val="00C21628"/>
    <w:rsid w:val="00CB5140"/>
    <w:rsid w:val="00E64171"/>
    <w:rsid w:val="00EC6DFA"/>
    <w:rsid w:val="08AA4684"/>
    <w:rsid w:val="0C937D2A"/>
    <w:rsid w:val="0C9C64B3"/>
    <w:rsid w:val="15E00A71"/>
    <w:rsid w:val="19891C74"/>
    <w:rsid w:val="1BA52068"/>
    <w:rsid w:val="20414FC3"/>
    <w:rsid w:val="20456FC3"/>
    <w:rsid w:val="235B2D39"/>
    <w:rsid w:val="277C1244"/>
    <w:rsid w:val="29263208"/>
    <w:rsid w:val="29C558E6"/>
    <w:rsid w:val="2AA672C7"/>
    <w:rsid w:val="2B057BED"/>
    <w:rsid w:val="2B2F07C6"/>
    <w:rsid w:val="2CA7784E"/>
    <w:rsid w:val="31A517FB"/>
    <w:rsid w:val="321D2408"/>
    <w:rsid w:val="37D34FFA"/>
    <w:rsid w:val="3F640DF4"/>
    <w:rsid w:val="40CE4C54"/>
    <w:rsid w:val="47507FEA"/>
    <w:rsid w:val="51FB72D6"/>
    <w:rsid w:val="55394251"/>
    <w:rsid w:val="61785D1C"/>
    <w:rsid w:val="618722AB"/>
    <w:rsid w:val="65FC5AFC"/>
    <w:rsid w:val="70A15A74"/>
    <w:rsid w:val="73D45B40"/>
    <w:rsid w:val="74AD02B6"/>
    <w:rsid w:val="7B98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Hyperlink"/>
    <w:basedOn w:val="10"/>
    <w:autoRedefine/>
    <w:unhideWhenUsed/>
    <w:qFormat/>
    <w:uiPriority w:val="99"/>
    <w:rPr>
      <w:color w:val="0563C1" w:themeColor="hyperlink"/>
      <w:u w:val="single"/>
      <w14:textFill>
        <w14:solidFill>
          <w14:schemeClr w14:val="hlink"/>
        </w14:solidFill>
      </w14:textFill>
    </w:rPr>
  </w:style>
  <w:style w:type="paragraph" w:customStyle="1" w:styleId="13">
    <w:name w:val="样式2"/>
    <w:basedOn w:val="3"/>
    <w:next w:val="1"/>
    <w:autoRedefine/>
    <w:qFormat/>
    <w:uiPriority w:val="0"/>
    <w:pPr>
      <w:adjustRightInd w:val="0"/>
      <w:snapToGrid w:val="0"/>
      <w:spacing w:line="360" w:lineRule="auto"/>
      <w:ind w:firstLine="560"/>
      <w:jc w:val="left"/>
    </w:pPr>
    <w:rPr>
      <w:rFonts w:ascii="Times New Roman" w:hAnsi="Times New Roman" w:cs="Times New Roman"/>
      <w:bCs/>
      <w:sz w:val="28"/>
      <w:szCs w:val="22"/>
    </w:rPr>
  </w:style>
  <w:style w:type="paragraph" w:styleId="1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1878</Words>
  <Characters>1981</Characters>
  <Lines>14</Lines>
  <Paragraphs>4</Paragraphs>
  <TotalTime>0</TotalTime>
  <ScaleCrop>false</ScaleCrop>
  <LinksUpToDate>false</LinksUpToDate>
  <CharactersWithSpaces>1981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2024-09-21T04:05:00Z</dcterms:created>
  <dc:creator>wangsijia</dc:creator>
  <cp:lastModifiedBy>金阳</cp:lastModifiedBy>
  <dcterms:modified xsi:type="dcterms:W3CDTF">2024-09-25T09:05:23Z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56357B9E8648458E84022653FFFF97D0</vt:lpwstr>
  </property>
</Properties>
</file>