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A73A1">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28：</w:t>
      </w:r>
    </w:p>
    <w:p w14:paraId="6A52AFCB">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“基于人工智能的近视风险预测技术和前沿研究”比赛方案</w:t>
      </w:r>
    </w:p>
    <w:p w14:paraId="012EE374">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（中国人民解放军空军特色医学中心）</w:t>
      </w:r>
    </w:p>
    <w:p w14:paraId="23806525">
      <w:pPr>
        <w:pStyle w:val="3"/>
        <w:rPr>
          <w:rFonts w:hint="eastAsia"/>
        </w:rPr>
      </w:pPr>
    </w:p>
    <w:p w14:paraId="554F52CB">
      <w:pPr>
        <w:pStyle w:val="3"/>
        <w:rPr>
          <w:rFonts w:hint="eastAsia"/>
        </w:rPr>
      </w:pPr>
      <w:r>
        <w:rPr>
          <w:rFonts w:hint="eastAsia"/>
        </w:rPr>
        <w:t>一、出题</w:t>
      </w:r>
      <w:r>
        <w:t>单位</w:t>
      </w:r>
    </w:p>
    <w:p w14:paraId="5F281F7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中国人民解放军空军特色医学</w:t>
      </w:r>
      <w:bookmarkStart w:id="0" w:name="_Hlk162781086"/>
      <w:r>
        <w:rPr>
          <w:rFonts w:hint="eastAsia" w:eastAsia="仿宋_GB2312" w:cs="仿宋_GB2312"/>
          <w:color w:val="000000" w:themeColor="text1"/>
          <w:sz w:val="32"/>
          <w:szCs w:val="32"/>
          <w:lang w:val="en-US"/>
          <w14:textFill>
            <w14:solidFill>
              <w14:schemeClr w14:val="tx1"/>
            </w14:solidFill>
          </w14:textFill>
        </w:rPr>
        <w:t>中心</w:t>
      </w:r>
      <w:bookmarkEnd w:id="0"/>
    </w:p>
    <w:p w14:paraId="214C23C0">
      <w:pPr>
        <w:pStyle w:val="3"/>
        <w:rPr>
          <w:rFonts w:hint="eastAsia"/>
        </w:rPr>
      </w:pPr>
      <w:r>
        <w:rPr>
          <w:rFonts w:hint="eastAsia"/>
        </w:rPr>
        <w:t>二、</w:t>
      </w:r>
      <w:r>
        <w:t>题目名称</w:t>
      </w:r>
    </w:p>
    <w:p w14:paraId="0104387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基于人工智能的近视风险预测技术和前沿研究</w:t>
      </w:r>
    </w:p>
    <w:p w14:paraId="19F72485">
      <w:pPr>
        <w:pStyle w:val="3"/>
        <w:rPr>
          <w:rFonts w:hint="eastAsia"/>
        </w:rPr>
      </w:pPr>
      <w:r>
        <w:rPr>
          <w:rFonts w:hint="eastAsia"/>
        </w:rPr>
        <w:t>三、题目介绍</w:t>
      </w:r>
    </w:p>
    <w:p w14:paraId="3940BC6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近视是最常见的屈光不正，已成为全球的重大公共卫生问题。近视的发病年龄越小，其进展的速度越快，进展为高度近视或病理性近视的可能性越大。病理性近视会增加一系列眼底病变的患病风险，如视网膜脱落、脉络膜新生血管、黄斑变性和后巩膜葡萄肿等。因此，病理性近视是全球低视力或失明的主要原因之一。</w:t>
      </w:r>
      <w:r>
        <w:rPr>
          <w:rFonts w:eastAsia="仿宋_GB2312" w:cs="仿宋_GB2312"/>
          <w:color w:val="000000" w:themeColor="text1"/>
          <w:sz w:val="32"/>
          <w:szCs w:val="32"/>
          <w:lang w:val="en-US"/>
          <w14:textFill>
            <w14:solidFill>
              <w14:schemeClr w14:val="tx1"/>
            </w14:solidFill>
          </w14:textFill>
        </w:rPr>
        <w:t>2018</w:t>
      </w:r>
      <w:r>
        <w:rPr>
          <w:rFonts w:hint="eastAsia" w:eastAsia="仿宋_GB2312" w:cs="仿宋_GB2312"/>
          <w:color w:val="000000" w:themeColor="text1"/>
          <w:sz w:val="32"/>
          <w:szCs w:val="32"/>
          <w:lang w:val="en-US"/>
          <w14:textFill>
            <w14:solidFill>
              <w14:schemeClr w14:val="tx1"/>
            </w14:solidFill>
          </w14:textFill>
        </w:rPr>
        <w:t>年，由教育部牵头，联合国家卫生健康委员会等八部门印发了《综合防控儿童青少年近视实施方案》，将近视防控上升为国家策略。</w:t>
      </w:r>
    </w:p>
    <w:p w14:paraId="0387FE8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病理性近视的一个重要表现为眼轴异常增长。眼轴病理性增长的风险可能与眼球后部巩膜的生物力学属性相关。因此，后巩膜生物力学属性及其变化规律有可能成为预测近视进展并指示近视早期病理变化的指标，但目前临床上缺乏后巩膜生物力学属性直接测量方法。基于人工智能和多模影像学的近视风险预测技术和前沿研究项目在攻克技术难题方面具有重大意义。</w:t>
      </w:r>
    </w:p>
    <w:p w14:paraId="133CCAC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题目要求参赛者结合人工智能与力学算法，创新性地开发出能够无创、便捷评估巩膜生物力学特性的AI模型：只需对眼后部进行常规成像就可评估巩膜的生物力学特性。</w:t>
      </w:r>
    </w:p>
    <w:p w14:paraId="1E3B00B1">
      <w:pPr>
        <w:pStyle w:val="3"/>
        <w:rPr>
          <w:rFonts w:hint="eastAsia"/>
        </w:rPr>
      </w:pPr>
      <w:r>
        <w:rPr>
          <w:rFonts w:hint="eastAsia"/>
        </w:rPr>
        <w:t>四、</w:t>
      </w:r>
      <w:r>
        <w:t>参赛对象</w:t>
      </w:r>
    </w:p>
    <w:p w14:paraId="4B365667">
      <w:pPr>
        <w:spacing w:line="560" w:lineRule="exact"/>
        <w:ind w:firstLine="640" w:firstLineChars="200"/>
        <w:rPr>
          <w:rFonts w:eastAsia="仿宋_GB2312" w:cs="仿宋_GB2312"/>
          <w:sz w:val="32"/>
          <w:szCs w:val="32"/>
          <w:lang w:val="en-US"/>
        </w:rPr>
      </w:pPr>
      <w:bookmarkStart w:id="1"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E9D9172">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7DE1AF0F">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5605BAF9">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34E2CB4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1"/>
    <w:p w14:paraId="735ADE23">
      <w:pPr>
        <w:pStyle w:val="3"/>
        <w:rPr>
          <w:rFonts w:hint="eastAsia"/>
        </w:rPr>
      </w:pPr>
      <w:r>
        <w:rPr>
          <w:rFonts w:hint="eastAsia"/>
        </w:rPr>
        <w:t>五、</w:t>
      </w:r>
      <w:r>
        <w:t>答题要求</w:t>
      </w:r>
    </w:p>
    <w:p w14:paraId="0008CCB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具备创新性和原创性，独立设计并完成开发，此前未公开发布；</w:t>
      </w:r>
    </w:p>
    <w:p w14:paraId="6CA266D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具备实用性，有一定的转化价值；</w:t>
      </w:r>
    </w:p>
    <w:p w14:paraId="2D4F2DB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参赛者应以文档形式给出基于人工智能的眼后部组织生物力学在体测量算法设计方案研究报告，内容包括但不限于设计方案说明、程序实现、返回结果、核心技术/创新点等；</w:t>
      </w:r>
    </w:p>
    <w:p w14:paraId="5199287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参赛者应提交相应的基于人工智能的眼后部组织生物力学在体测量应用程序或软件，内容包括但不限于源代码与可执行文件、程序文档、测试结果。</w:t>
      </w:r>
    </w:p>
    <w:p w14:paraId="7BB2EB9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5.</w:t>
      </w:r>
      <w:r>
        <w:rPr>
          <w:rFonts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hint="eastAsia" w:eastAsia="仿宋_GB2312" w:cs="仿宋_GB2312"/>
          <w:color w:val="000000" w:themeColor="text1"/>
          <w:sz w:val="32"/>
          <w:szCs w:val="32"/>
          <w:lang w:val="en-US"/>
          <w14:textFill>
            <w14:solidFill>
              <w14:schemeClr w14:val="tx1"/>
            </w14:solidFill>
          </w14:textFill>
        </w:rPr>
        <w:t>8</w:t>
      </w:r>
      <w:r>
        <w:rPr>
          <w:rFonts w:eastAsia="仿宋_GB2312" w:cs="仿宋_GB2312"/>
          <w:color w:val="000000" w:themeColor="text1"/>
          <w:sz w:val="32"/>
          <w:szCs w:val="32"/>
          <w:lang w:val="en-US"/>
          <w14:textFill>
            <w14:solidFill>
              <w14:schemeClr w14:val="tx1"/>
            </w14:solidFill>
          </w14:textFill>
        </w:rPr>
        <w:t>月1日前，各参赛团队提交作品。</w:t>
      </w:r>
    </w:p>
    <w:p w14:paraId="1A0427AB">
      <w:pPr>
        <w:pStyle w:val="3"/>
        <w:rPr>
          <w:rFonts w:hint="eastAsia"/>
        </w:rPr>
      </w:pPr>
      <w:r>
        <w:rPr>
          <w:rFonts w:hint="eastAsia"/>
        </w:rPr>
        <w:t>六、</w:t>
      </w:r>
      <w:r>
        <w:t>作品评选</w:t>
      </w:r>
      <w:r>
        <w:rPr>
          <w:rFonts w:hint="eastAsia" w:ascii="Times New Roman" w:hAnsi="Times New Roman" w:cs="黑体"/>
          <w:color w:val="000000" w:themeColor="text1"/>
          <w14:textFill>
            <w14:solidFill>
              <w14:schemeClr w14:val="tx1"/>
            </w14:solidFill>
          </w14:textFill>
        </w:rPr>
        <w:t>参考</w:t>
      </w:r>
      <w:r>
        <w:t>标准</w:t>
      </w:r>
    </w:p>
    <w:p w14:paraId="2C7286B1">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作品采用得分制进行评选与排名，总分包括主观分与客观分，其中主观分 50 分，客观分 50 分。</w:t>
      </w:r>
    </w:p>
    <w:p w14:paraId="40A5F749">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主观分</w:t>
      </w:r>
    </w:p>
    <w:p w14:paraId="3A0C9432">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评委主要从作品的国内外发展调研分析情况、研究思路、技术路线、工程性、合理性等五个维度进行综合评价，共50分，各维度所占分值情况如下</w:t>
      </w:r>
      <w:r>
        <w:rPr>
          <w:rFonts w:hint="eastAsia" w:eastAsia="仿宋_GB2312" w:cs="仿宋_GB2312"/>
          <w:color w:val="000000"/>
          <w:sz w:val="32"/>
          <w:szCs w:val="32"/>
        </w:rPr>
        <w:t>：</w:t>
      </w:r>
    </w:p>
    <w:p w14:paraId="0F9E127E">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国内外发展调研分析情况</w:t>
      </w:r>
      <w:r>
        <w:rPr>
          <w:rFonts w:hint="eastAsia" w:eastAsia="仿宋_GB2312" w:cs="仿宋_GB2312"/>
          <w:color w:val="000000"/>
          <w:sz w:val="32"/>
          <w:szCs w:val="32"/>
        </w:rPr>
        <w:t>（</w:t>
      </w:r>
      <w:r>
        <w:rPr>
          <w:rFonts w:eastAsia="仿宋_GB2312" w:cs="仿宋_GB2312"/>
          <w:color w:val="000000"/>
          <w:sz w:val="32"/>
          <w:szCs w:val="32"/>
        </w:rPr>
        <w:t>分值</w:t>
      </w:r>
      <w:r>
        <w:rPr>
          <w:rFonts w:hint="eastAsia" w:eastAsia="仿宋_GB2312" w:cs="仿宋_GB2312"/>
          <w:color w:val="000000"/>
          <w:sz w:val="32"/>
          <w:szCs w:val="32"/>
        </w:rPr>
        <w:t>：</w:t>
      </w:r>
      <w:r>
        <w:rPr>
          <w:rFonts w:eastAsia="仿宋_GB2312" w:cs="仿宋_GB2312"/>
          <w:color w:val="000000"/>
          <w:sz w:val="32"/>
          <w:szCs w:val="32"/>
        </w:rPr>
        <w:t>10分</w:t>
      </w:r>
      <w:r>
        <w:rPr>
          <w:rFonts w:hint="eastAsia" w:eastAsia="仿宋_GB2312" w:cs="仿宋_GB2312"/>
          <w:color w:val="000000"/>
          <w:sz w:val="32"/>
          <w:szCs w:val="32"/>
        </w:rPr>
        <w:t>）</w:t>
      </w:r>
      <w:r>
        <w:rPr>
          <w:rFonts w:eastAsia="仿宋_GB2312" w:cs="仿宋_GB2312"/>
          <w:color w:val="000000"/>
          <w:sz w:val="32"/>
          <w:szCs w:val="32"/>
        </w:rPr>
        <w:t xml:space="preserve">; </w:t>
      </w:r>
    </w:p>
    <w:p w14:paraId="3E381476">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研究思路合理性</w:t>
      </w:r>
      <w:r>
        <w:rPr>
          <w:rFonts w:hint="eastAsia" w:eastAsia="仿宋_GB2312" w:cs="仿宋_GB2312"/>
          <w:color w:val="000000"/>
          <w:sz w:val="32"/>
          <w:szCs w:val="32"/>
        </w:rPr>
        <w:t>（</w:t>
      </w:r>
      <w:r>
        <w:rPr>
          <w:rFonts w:eastAsia="仿宋_GB2312" w:cs="仿宋_GB2312"/>
          <w:color w:val="000000"/>
          <w:sz w:val="32"/>
          <w:szCs w:val="32"/>
        </w:rPr>
        <w:t>分值</w:t>
      </w:r>
      <w:r>
        <w:rPr>
          <w:rFonts w:hint="eastAsia" w:eastAsia="仿宋_GB2312" w:cs="仿宋_GB2312"/>
          <w:color w:val="000000"/>
          <w:sz w:val="32"/>
          <w:szCs w:val="32"/>
        </w:rPr>
        <w:t>：</w:t>
      </w:r>
      <w:r>
        <w:rPr>
          <w:rFonts w:eastAsia="仿宋_GB2312" w:cs="仿宋_GB2312"/>
          <w:color w:val="000000"/>
          <w:sz w:val="32"/>
          <w:szCs w:val="32"/>
        </w:rPr>
        <w:t>10分</w:t>
      </w:r>
      <w:r>
        <w:rPr>
          <w:rFonts w:hint="eastAsia" w:eastAsia="仿宋_GB2312" w:cs="仿宋_GB2312"/>
          <w:color w:val="000000"/>
          <w:sz w:val="32"/>
          <w:szCs w:val="32"/>
        </w:rPr>
        <w:t>）</w:t>
      </w:r>
      <w:r>
        <w:rPr>
          <w:rFonts w:eastAsia="仿宋_GB2312" w:cs="仿宋_GB2312"/>
          <w:color w:val="000000"/>
          <w:sz w:val="32"/>
          <w:szCs w:val="32"/>
        </w:rPr>
        <w:t>;</w:t>
      </w:r>
    </w:p>
    <w:p w14:paraId="0875BE8C">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w:t>
      </w:r>
      <w:r>
        <w:rPr>
          <w:rFonts w:eastAsia="仿宋_GB2312" w:cs="仿宋_GB2312"/>
          <w:color w:val="000000"/>
          <w:sz w:val="32"/>
          <w:szCs w:val="32"/>
        </w:rPr>
        <w:t>技术路线可行性</w:t>
      </w:r>
      <w:r>
        <w:rPr>
          <w:rFonts w:hint="eastAsia" w:eastAsia="仿宋_GB2312" w:cs="仿宋_GB2312"/>
          <w:color w:val="000000"/>
          <w:sz w:val="32"/>
          <w:szCs w:val="32"/>
        </w:rPr>
        <w:t>（</w:t>
      </w:r>
      <w:r>
        <w:rPr>
          <w:rFonts w:eastAsia="仿宋_GB2312" w:cs="仿宋_GB2312"/>
          <w:color w:val="000000"/>
          <w:sz w:val="32"/>
          <w:szCs w:val="32"/>
        </w:rPr>
        <w:t>分值</w:t>
      </w:r>
      <w:r>
        <w:rPr>
          <w:rFonts w:hint="eastAsia" w:eastAsia="仿宋_GB2312" w:cs="仿宋_GB2312"/>
          <w:color w:val="000000"/>
          <w:sz w:val="32"/>
          <w:szCs w:val="32"/>
        </w:rPr>
        <w:t>：</w:t>
      </w:r>
      <w:r>
        <w:rPr>
          <w:rFonts w:eastAsia="仿宋_GB2312" w:cs="仿宋_GB2312"/>
          <w:color w:val="000000"/>
          <w:sz w:val="32"/>
          <w:szCs w:val="32"/>
        </w:rPr>
        <w:t>10分</w:t>
      </w:r>
      <w:r>
        <w:rPr>
          <w:rFonts w:hint="eastAsia" w:eastAsia="仿宋_GB2312" w:cs="仿宋_GB2312"/>
          <w:color w:val="000000"/>
          <w:sz w:val="32"/>
          <w:szCs w:val="32"/>
        </w:rPr>
        <w:t>）</w:t>
      </w:r>
      <w:r>
        <w:rPr>
          <w:rFonts w:eastAsia="仿宋_GB2312" w:cs="仿宋_GB2312"/>
          <w:color w:val="000000"/>
          <w:sz w:val="32"/>
          <w:szCs w:val="32"/>
        </w:rPr>
        <w:t>;</w:t>
      </w:r>
    </w:p>
    <w:p w14:paraId="281BC5DF">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（4）</w:t>
      </w:r>
      <w:r>
        <w:rPr>
          <w:rFonts w:eastAsia="仿宋_GB2312" w:cs="仿宋_GB2312"/>
          <w:color w:val="000000"/>
          <w:sz w:val="32"/>
          <w:szCs w:val="32"/>
        </w:rPr>
        <w:t>基于当前临床资源的可实现性</w:t>
      </w:r>
      <w:r>
        <w:rPr>
          <w:rFonts w:hint="eastAsia" w:eastAsia="仿宋_GB2312" w:cs="仿宋_GB2312"/>
          <w:color w:val="000000"/>
          <w:sz w:val="32"/>
          <w:szCs w:val="32"/>
        </w:rPr>
        <w:t>（</w:t>
      </w:r>
      <w:r>
        <w:rPr>
          <w:rFonts w:eastAsia="仿宋_GB2312" w:cs="仿宋_GB2312"/>
          <w:color w:val="000000"/>
          <w:sz w:val="32"/>
          <w:szCs w:val="32"/>
        </w:rPr>
        <w:t>分值</w:t>
      </w:r>
      <w:r>
        <w:rPr>
          <w:rFonts w:hint="eastAsia" w:eastAsia="仿宋_GB2312" w:cs="仿宋_GB2312"/>
          <w:color w:val="000000"/>
          <w:sz w:val="32"/>
          <w:szCs w:val="32"/>
        </w:rPr>
        <w:t>：</w:t>
      </w:r>
      <w:r>
        <w:rPr>
          <w:rFonts w:eastAsia="仿宋_GB2312" w:cs="仿宋_GB2312"/>
          <w:color w:val="000000"/>
          <w:sz w:val="32"/>
          <w:szCs w:val="32"/>
        </w:rPr>
        <w:t>10分</w:t>
      </w:r>
      <w:r>
        <w:rPr>
          <w:rFonts w:hint="eastAsia" w:eastAsia="仿宋_GB2312" w:cs="仿宋_GB2312"/>
          <w:color w:val="000000"/>
          <w:sz w:val="32"/>
          <w:szCs w:val="32"/>
        </w:rPr>
        <w:t>）</w:t>
      </w:r>
      <w:r>
        <w:rPr>
          <w:rFonts w:eastAsia="仿宋_GB2312" w:cs="仿宋_GB2312"/>
          <w:color w:val="000000"/>
          <w:sz w:val="32"/>
          <w:szCs w:val="32"/>
        </w:rPr>
        <w:t>;</w:t>
      </w:r>
    </w:p>
    <w:p w14:paraId="4C82BAA7">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（5）</w:t>
      </w:r>
      <w:r>
        <w:rPr>
          <w:rFonts w:eastAsia="仿宋_GB2312" w:cs="仿宋_GB2312"/>
          <w:color w:val="000000"/>
          <w:sz w:val="32"/>
          <w:szCs w:val="32"/>
        </w:rPr>
        <w:t>模型合理性</w:t>
      </w:r>
      <w:r>
        <w:rPr>
          <w:rFonts w:hint="eastAsia" w:eastAsia="仿宋_GB2312" w:cs="仿宋_GB2312"/>
          <w:color w:val="000000"/>
          <w:sz w:val="32"/>
          <w:szCs w:val="32"/>
        </w:rPr>
        <w:t>（</w:t>
      </w:r>
      <w:r>
        <w:rPr>
          <w:rFonts w:eastAsia="仿宋_GB2312" w:cs="仿宋_GB2312"/>
          <w:color w:val="000000"/>
          <w:sz w:val="32"/>
          <w:szCs w:val="32"/>
        </w:rPr>
        <w:t>分值</w:t>
      </w:r>
      <w:r>
        <w:rPr>
          <w:rFonts w:hint="eastAsia" w:eastAsia="仿宋_GB2312" w:cs="仿宋_GB2312"/>
          <w:color w:val="000000"/>
          <w:sz w:val="32"/>
          <w:szCs w:val="32"/>
        </w:rPr>
        <w:t>：</w:t>
      </w:r>
      <w:r>
        <w:rPr>
          <w:rFonts w:eastAsia="仿宋_GB2312" w:cs="仿宋_GB2312"/>
          <w:color w:val="000000"/>
          <w:sz w:val="32"/>
          <w:szCs w:val="32"/>
        </w:rPr>
        <w:t>10分</w:t>
      </w:r>
      <w:r>
        <w:rPr>
          <w:rFonts w:hint="eastAsia" w:eastAsia="仿宋_GB2312" w:cs="仿宋_GB2312"/>
          <w:color w:val="000000"/>
          <w:sz w:val="32"/>
          <w:szCs w:val="32"/>
        </w:rPr>
        <w:t>）</w:t>
      </w:r>
      <w:r>
        <w:rPr>
          <w:rFonts w:eastAsia="仿宋_GB2312" w:cs="仿宋_GB2312"/>
          <w:color w:val="000000"/>
          <w:sz w:val="32"/>
          <w:szCs w:val="32"/>
        </w:rPr>
        <w:t>。</w:t>
      </w:r>
    </w:p>
    <w:p w14:paraId="4E3F6CD0">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客观分</w:t>
      </w:r>
    </w:p>
    <w:p w14:paraId="723E40B9">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评委根据提交的程序，测试各功能实现情况，共50分，各功能所占分值情况如下：</w:t>
      </w:r>
    </w:p>
    <w:p w14:paraId="5945FF41">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提取出眼球后部各点各组织变形</w:t>
      </w:r>
      <w:r>
        <w:rPr>
          <w:rFonts w:hint="eastAsia" w:eastAsia="仿宋_GB2312" w:cs="仿宋_GB2312"/>
          <w:color w:val="000000"/>
          <w:sz w:val="32"/>
          <w:szCs w:val="32"/>
        </w:rPr>
        <w:t>（</w:t>
      </w:r>
      <w:r>
        <w:rPr>
          <w:rFonts w:eastAsia="仿宋_GB2312" w:cs="仿宋_GB2312"/>
          <w:color w:val="000000"/>
          <w:sz w:val="32"/>
          <w:szCs w:val="32"/>
        </w:rPr>
        <w:t>分值</w:t>
      </w:r>
      <w:r>
        <w:rPr>
          <w:rFonts w:hint="eastAsia" w:eastAsia="仿宋_GB2312" w:cs="仿宋_GB2312"/>
          <w:color w:val="000000"/>
          <w:sz w:val="32"/>
          <w:szCs w:val="32"/>
        </w:rPr>
        <w:t>：</w:t>
      </w:r>
      <w:r>
        <w:rPr>
          <w:rFonts w:eastAsia="仿宋_GB2312" w:cs="仿宋_GB2312"/>
          <w:color w:val="000000"/>
          <w:sz w:val="32"/>
          <w:szCs w:val="32"/>
        </w:rPr>
        <w:t>20分</w:t>
      </w:r>
      <w:r>
        <w:rPr>
          <w:rFonts w:hint="eastAsia" w:eastAsia="仿宋_GB2312" w:cs="仿宋_GB2312"/>
          <w:color w:val="000000"/>
          <w:sz w:val="32"/>
          <w:szCs w:val="32"/>
        </w:rPr>
        <w:t>）</w:t>
      </w:r>
    </w:p>
    <w:p w14:paraId="6D5E38CD">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人工智能算法对眼球后部组织变形的预测MAE&lt;2% (15分</w:t>
      </w:r>
      <w:r>
        <w:rPr>
          <w:rFonts w:hint="eastAsia" w:eastAsia="仿宋_GB2312" w:cs="仿宋_GB2312"/>
          <w:color w:val="000000"/>
          <w:sz w:val="32"/>
          <w:szCs w:val="32"/>
        </w:rPr>
        <w:t>）</w:t>
      </w:r>
    </w:p>
    <w:p w14:paraId="52B608A8">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w:t>
      </w:r>
      <w:r>
        <w:rPr>
          <w:rFonts w:eastAsia="仿宋_GB2312" w:cs="仿宋_GB2312"/>
          <w:color w:val="000000"/>
          <w:sz w:val="32"/>
          <w:szCs w:val="32"/>
        </w:rPr>
        <w:t>人工智能算法只采用单次成像数据对眼球后部顺应性预测的二分类AUC&gt;0.7 (15分</w:t>
      </w:r>
      <w:r>
        <w:rPr>
          <w:rFonts w:hint="eastAsia" w:eastAsia="仿宋_GB2312" w:cs="仿宋_GB2312"/>
          <w:color w:val="000000"/>
          <w:sz w:val="32"/>
          <w:szCs w:val="32"/>
        </w:rPr>
        <w:t>）</w:t>
      </w:r>
    </w:p>
    <w:p w14:paraId="2C76FC5C">
      <w:pPr>
        <w:keepNext/>
        <w:ind w:firstLine="640" w:firstLineChars="200"/>
        <w:jc w:val="both"/>
        <w:rPr>
          <w:rFonts w:hint="eastAsia" w:ascii="黑体" w:hAnsi="黑体" w:eastAsia="黑体"/>
          <w:sz w:val="32"/>
          <w:szCs w:val="22"/>
          <w:lang w:val="en-US"/>
        </w:rPr>
      </w:pPr>
      <w:r>
        <w:rPr>
          <w:rFonts w:hint="eastAsia" w:ascii="黑体" w:hAnsi="黑体" w:eastAsia="黑体"/>
          <w:sz w:val="32"/>
          <w:szCs w:val="22"/>
          <w:lang w:val="en-US"/>
        </w:rPr>
        <w:t>七、</w:t>
      </w:r>
      <w:r>
        <w:rPr>
          <w:rFonts w:ascii="黑体" w:hAnsi="黑体" w:eastAsia="黑体"/>
          <w:sz w:val="32"/>
          <w:szCs w:val="22"/>
          <w:lang w:val="en-US"/>
        </w:rPr>
        <w:t>作品提交</w:t>
      </w:r>
      <w:r>
        <w:rPr>
          <w:rFonts w:hint="eastAsia" w:ascii="黑体" w:hAnsi="黑体" w:eastAsia="黑体"/>
          <w:sz w:val="32"/>
          <w:szCs w:val="22"/>
          <w:lang w:val="en-US"/>
        </w:rPr>
        <w:t>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5"/>
          <w:rFonts w:eastAsia="仿宋_GB2312" w:cs="仿宋_GB2312"/>
          <w:sz w:val="32"/>
          <w:szCs w:val="32"/>
          <w:lang w:val="en-US"/>
        </w:rPr>
        <w:t>wutxskx@163.com。</w:t>
      </w:r>
      <w:r>
        <w:rPr>
          <w:rStyle w:val="15"/>
          <w:rFonts w:eastAsia="仿宋_GB2312" w:cs="仿宋_GB2312"/>
          <w:sz w:val="32"/>
          <w:szCs w:val="32"/>
          <w:lang w:val="en-US"/>
        </w:rPr>
        <w:fldChar w:fldCharType="end"/>
      </w:r>
    </w:p>
    <w:p w14:paraId="24E2778C">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w:t>
      </w:r>
      <w:bookmarkStart w:id="2" w:name="_GoBack"/>
      <w:bookmarkEnd w:id="2"/>
      <w:r>
        <w:rPr>
          <w:rFonts w:eastAsia="仿宋_GB2312" w:cs="仿宋_GB2312"/>
          <w:sz w:val="32"/>
          <w:szCs w:val="32"/>
          <w:lang w:val="en-US"/>
        </w:rPr>
        <w:t>赛项目进行公开答辩</w:t>
      </w:r>
      <w:r>
        <w:rPr>
          <w:rFonts w:hint="eastAsia" w:eastAsia="仿宋_GB2312" w:cs="仿宋_GB2312"/>
          <w:sz w:val="32"/>
          <w:szCs w:val="32"/>
          <w:lang w:val="en-US"/>
        </w:rPr>
        <w:t>。</w:t>
      </w:r>
    </w:p>
    <w:sectPr>
      <w:footerReference r:id="rId3" w:type="default"/>
      <w:pgSz w:w="11906" w:h="16838"/>
      <w:pgMar w:top="1985" w:right="1588"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3595657"/>
    </w:sdtPr>
    <w:sdtContent>
      <w:p w14:paraId="675EDE4A">
        <w:pPr>
          <w:pStyle w:val="6"/>
          <w:ind w:firstLine="360"/>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D82B97D">
    <w:pPr>
      <w:pStyle w:val="6"/>
      <w:ind w:firstLine="360"/>
      <w:rPr>
        <w:rFonts w:hint="eastAsia"/>
      </w:rPr>
    </w:pPr>
  </w:p>
  <w:p w14:paraId="46867031"/>
  <w:p w14:paraId="40EDE538"/>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9243"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40EE1"/>
    <w:rsid w:val="00057714"/>
    <w:rsid w:val="000626B0"/>
    <w:rsid w:val="00064968"/>
    <w:rsid w:val="00075C5A"/>
    <w:rsid w:val="0007709D"/>
    <w:rsid w:val="000A6775"/>
    <w:rsid w:val="000D57EF"/>
    <w:rsid w:val="000D7890"/>
    <w:rsid w:val="0010211D"/>
    <w:rsid w:val="0011069F"/>
    <w:rsid w:val="00111E5D"/>
    <w:rsid w:val="00120156"/>
    <w:rsid w:val="001367A9"/>
    <w:rsid w:val="00143054"/>
    <w:rsid w:val="0015421C"/>
    <w:rsid w:val="001579F2"/>
    <w:rsid w:val="00164C26"/>
    <w:rsid w:val="0016564C"/>
    <w:rsid w:val="001836F5"/>
    <w:rsid w:val="001B0956"/>
    <w:rsid w:val="001B0D74"/>
    <w:rsid w:val="001B2C6C"/>
    <w:rsid w:val="001C0DFA"/>
    <w:rsid w:val="001D0729"/>
    <w:rsid w:val="001E3C58"/>
    <w:rsid w:val="001E760D"/>
    <w:rsid w:val="001E77C2"/>
    <w:rsid w:val="001F6CC8"/>
    <w:rsid w:val="0020086A"/>
    <w:rsid w:val="00205E3B"/>
    <w:rsid w:val="0022526A"/>
    <w:rsid w:val="00236E3E"/>
    <w:rsid w:val="00247DFB"/>
    <w:rsid w:val="002560B0"/>
    <w:rsid w:val="00281AE9"/>
    <w:rsid w:val="00283877"/>
    <w:rsid w:val="002938E3"/>
    <w:rsid w:val="00297376"/>
    <w:rsid w:val="002B0D40"/>
    <w:rsid w:val="002B6DDC"/>
    <w:rsid w:val="002E7BFD"/>
    <w:rsid w:val="002F7D9C"/>
    <w:rsid w:val="00317646"/>
    <w:rsid w:val="00341051"/>
    <w:rsid w:val="00351403"/>
    <w:rsid w:val="00354FAF"/>
    <w:rsid w:val="00363E2D"/>
    <w:rsid w:val="00371816"/>
    <w:rsid w:val="00392185"/>
    <w:rsid w:val="0039481F"/>
    <w:rsid w:val="003B6C68"/>
    <w:rsid w:val="003B786C"/>
    <w:rsid w:val="003E007F"/>
    <w:rsid w:val="003E2852"/>
    <w:rsid w:val="00403615"/>
    <w:rsid w:val="00405B32"/>
    <w:rsid w:val="00407F26"/>
    <w:rsid w:val="0041464C"/>
    <w:rsid w:val="0044308F"/>
    <w:rsid w:val="0044592C"/>
    <w:rsid w:val="0045516C"/>
    <w:rsid w:val="00463782"/>
    <w:rsid w:val="00471974"/>
    <w:rsid w:val="00476A7D"/>
    <w:rsid w:val="00483410"/>
    <w:rsid w:val="004876C3"/>
    <w:rsid w:val="0049319F"/>
    <w:rsid w:val="00494F44"/>
    <w:rsid w:val="00496D3E"/>
    <w:rsid w:val="004A0A91"/>
    <w:rsid w:val="004B00B4"/>
    <w:rsid w:val="004B01E5"/>
    <w:rsid w:val="004B6FF1"/>
    <w:rsid w:val="004C19A1"/>
    <w:rsid w:val="004C729E"/>
    <w:rsid w:val="004D0FC5"/>
    <w:rsid w:val="004F30AF"/>
    <w:rsid w:val="004F3DC9"/>
    <w:rsid w:val="00517736"/>
    <w:rsid w:val="00532B4E"/>
    <w:rsid w:val="005333BA"/>
    <w:rsid w:val="00537F15"/>
    <w:rsid w:val="00553DCC"/>
    <w:rsid w:val="00554C5C"/>
    <w:rsid w:val="005579AD"/>
    <w:rsid w:val="005753FB"/>
    <w:rsid w:val="00577641"/>
    <w:rsid w:val="00580524"/>
    <w:rsid w:val="00585CAC"/>
    <w:rsid w:val="005944CA"/>
    <w:rsid w:val="005A1799"/>
    <w:rsid w:val="005A5BBF"/>
    <w:rsid w:val="005A7B1F"/>
    <w:rsid w:val="005C1AAC"/>
    <w:rsid w:val="005D33E1"/>
    <w:rsid w:val="005D67D6"/>
    <w:rsid w:val="005E0F11"/>
    <w:rsid w:val="00603AF5"/>
    <w:rsid w:val="006047E7"/>
    <w:rsid w:val="00606DA8"/>
    <w:rsid w:val="00613673"/>
    <w:rsid w:val="00613AAA"/>
    <w:rsid w:val="006226BA"/>
    <w:rsid w:val="00633F6B"/>
    <w:rsid w:val="0063530A"/>
    <w:rsid w:val="00636F96"/>
    <w:rsid w:val="00663468"/>
    <w:rsid w:val="0066573D"/>
    <w:rsid w:val="0068166A"/>
    <w:rsid w:val="00683446"/>
    <w:rsid w:val="00692EEC"/>
    <w:rsid w:val="006A3A6E"/>
    <w:rsid w:val="006A51DF"/>
    <w:rsid w:val="006C3959"/>
    <w:rsid w:val="006C732F"/>
    <w:rsid w:val="006E6DDA"/>
    <w:rsid w:val="006E73AD"/>
    <w:rsid w:val="007216F0"/>
    <w:rsid w:val="0073249A"/>
    <w:rsid w:val="00746651"/>
    <w:rsid w:val="00760524"/>
    <w:rsid w:val="00765C33"/>
    <w:rsid w:val="00772042"/>
    <w:rsid w:val="00777C79"/>
    <w:rsid w:val="007879EC"/>
    <w:rsid w:val="007B600D"/>
    <w:rsid w:val="007F195A"/>
    <w:rsid w:val="00802547"/>
    <w:rsid w:val="00805D49"/>
    <w:rsid w:val="008078A9"/>
    <w:rsid w:val="00816F55"/>
    <w:rsid w:val="00825FD8"/>
    <w:rsid w:val="008313DD"/>
    <w:rsid w:val="008321B0"/>
    <w:rsid w:val="00851D22"/>
    <w:rsid w:val="00851D33"/>
    <w:rsid w:val="00860FD3"/>
    <w:rsid w:val="008669B5"/>
    <w:rsid w:val="00867EEA"/>
    <w:rsid w:val="00872C0C"/>
    <w:rsid w:val="008769EE"/>
    <w:rsid w:val="0088143A"/>
    <w:rsid w:val="008836AC"/>
    <w:rsid w:val="00887D7E"/>
    <w:rsid w:val="0089086B"/>
    <w:rsid w:val="008B0A4F"/>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75AE4"/>
    <w:rsid w:val="00987542"/>
    <w:rsid w:val="00995541"/>
    <w:rsid w:val="00996255"/>
    <w:rsid w:val="00996802"/>
    <w:rsid w:val="009A5F81"/>
    <w:rsid w:val="009F09E4"/>
    <w:rsid w:val="00A0235C"/>
    <w:rsid w:val="00A22759"/>
    <w:rsid w:val="00A30D68"/>
    <w:rsid w:val="00A31A98"/>
    <w:rsid w:val="00A4232F"/>
    <w:rsid w:val="00A43480"/>
    <w:rsid w:val="00A460CE"/>
    <w:rsid w:val="00A9444C"/>
    <w:rsid w:val="00AA7978"/>
    <w:rsid w:val="00AA7BD8"/>
    <w:rsid w:val="00AB1BF4"/>
    <w:rsid w:val="00AC329B"/>
    <w:rsid w:val="00AD025A"/>
    <w:rsid w:val="00AD24CF"/>
    <w:rsid w:val="00AD2F86"/>
    <w:rsid w:val="00AD52B7"/>
    <w:rsid w:val="00AD64EE"/>
    <w:rsid w:val="00AD6CFA"/>
    <w:rsid w:val="00AE66B7"/>
    <w:rsid w:val="00B0258C"/>
    <w:rsid w:val="00B32E7F"/>
    <w:rsid w:val="00B40CAF"/>
    <w:rsid w:val="00B444BA"/>
    <w:rsid w:val="00B52CCC"/>
    <w:rsid w:val="00B70A95"/>
    <w:rsid w:val="00B7562F"/>
    <w:rsid w:val="00B80EC7"/>
    <w:rsid w:val="00BA70BA"/>
    <w:rsid w:val="00BC1B59"/>
    <w:rsid w:val="00BD67D2"/>
    <w:rsid w:val="00BE634B"/>
    <w:rsid w:val="00BF4E2D"/>
    <w:rsid w:val="00C217F1"/>
    <w:rsid w:val="00C21B6E"/>
    <w:rsid w:val="00C24C93"/>
    <w:rsid w:val="00C31A0F"/>
    <w:rsid w:val="00C57AA5"/>
    <w:rsid w:val="00C60328"/>
    <w:rsid w:val="00C678B8"/>
    <w:rsid w:val="00C7078A"/>
    <w:rsid w:val="00C81301"/>
    <w:rsid w:val="00C82B11"/>
    <w:rsid w:val="00C90F03"/>
    <w:rsid w:val="00C97BA0"/>
    <w:rsid w:val="00CB5FAC"/>
    <w:rsid w:val="00CC699D"/>
    <w:rsid w:val="00CD5BC9"/>
    <w:rsid w:val="00D05DE3"/>
    <w:rsid w:val="00D177D1"/>
    <w:rsid w:val="00D35340"/>
    <w:rsid w:val="00D45209"/>
    <w:rsid w:val="00D474E2"/>
    <w:rsid w:val="00D531BB"/>
    <w:rsid w:val="00D55D40"/>
    <w:rsid w:val="00D64A7B"/>
    <w:rsid w:val="00D71164"/>
    <w:rsid w:val="00D755E0"/>
    <w:rsid w:val="00D8092B"/>
    <w:rsid w:val="00D826F5"/>
    <w:rsid w:val="00D905C1"/>
    <w:rsid w:val="00DA4A6A"/>
    <w:rsid w:val="00DB02D9"/>
    <w:rsid w:val="00DB59F1"/>
    <w:rsid w:val="00DD6820"/>
    <w:rsid w:val="00DE25C7"/>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559CD"/>
    <w:rsid w:val="00E65FC6"/>
    <w:rsid w:val="00E72C07"/>
    <w:rsid w:val="00E909FD"/>
    <w:rsid w:val="00E97F17"/>
    <w:rsid w:val="00EA0B44"/>
    <w:rsid w:val="00EA697C"/>
    <w:rsid w:val="00EB1E9B"/>
    <w:rsid w:val="00EB2BDB"/>
    <w:rsid w:val="00EB4B20"/>
    <w:rsid w:val="00EF3C50"/>
    <w:rsid w:val="00F033C1"/>
    <w:rsid w:val="00F1317D"/>
    <w:rsid w:val="00F256C4"/>
    <w:rsid w:val="00F26931"/>
    <w:rsid w:val="00F35525"/>
    <w:rsid w:val="00F47649"/>
    <w:rsid w:val="00F57CAE"/>
    <w:rsid w:val="00F70F5B"/>
    <w:rsid w:val="00F74A1C"/>
    <w:rsid w:val="00F75202"/>
    <w:rsid w:val="00F910DA"/>
    <w:rsid w:val="00FA1D99"/>
    <w:rsid w:val="00FA3792"/>
    <w:rsid w:val="00FC3910"/>
    <w:rsid w:val="00FF5C3F"/>
    <w:rsid w:val="011D4668"/>
    <w:rsid w:val="01AD4814"/>
    <w:rsid w:val="01D25B00"/>
    <w:rsid w:val="01D51F5B"/>
    <w:rsid w:val="02481270"/>
    <w:rsid w:val="0276570D"/>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180C91"/>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6F04A91"/>
    <w:rsid w:val="375B41E8"/>
    <w:rsid w:val="377F46BC"/>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BD1617"/>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3EA5BEB"/>
    <w:rsid w:val="44362561"/>
    <w:rsid w:val="443B2D53"/>
    <w:rsid w:val="445341F2"/>
    <w:rsid w:val="44834750"/>
    <w:rsid w:val="44DB2ACE"/>
    <w:rsid w:val="458849D3"/>
    <w:rsid w:val="45A06791"/>
    <w:rsid w:val="45B1292D"/>
    <w:rsid w:val="45BE2A1A"/>
    <w:rsid w:val="45BF74A8"/>
    <w:rsid w:val="45CD38CF"/>
    <w:rsid w:val="462E307C"/>
    <w:rsid w:val="464072B5"/>
    <w:rsid w:val="464D21B7"/>
    <w:rsid w:val="46CA635B"/>
    <w:rsid w:val="475353E4"/>
    <w:rsid w:val="479228E4"/>
    <w:rsid w:val="489A6F14"/>
    <w:rsid w:val="494B597C"/>
    <w:rsid w:val="49595D88"/>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1FD5F0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947E01"/>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6E48CE"/>
    <w:rsid w:val="5D8A2234"/>
    <w:rsid w:val="5DA37A9B"/>
    <w:rsid w:val="5DE96312"/>
    <w:rsid w:val="5E334000"/>
    <w:rsid w:val="5E69296F"/>
    <w:rsid w:val="5ED50225"/>
    <w:rsid w:val="5EDF3848"/>
    <w:rsid w:val="5F1F0240"/>
    <w:rsid w:val="5F562BF3"/>
    <w:rsid w:val="5FB32A6C"/>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4A747B"/>
    <w:rsid w:val="696D41C4"/>
    <w:rsid w:val="69BF1317"/>
    <w:rsid w:val="69ED05F9"/>
    <w:rsid w:val="6B263ACF"/>
    <w:rsid w:val="6B73602A"/>
    <w:rsid w:val="6B8B6CF1"/>
    <w:rsid w:val="6BDF6CC4"/>
    <w:rsid w:val="6C152AE5"/>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6E002DE"/>
    <w:rsid w:val="77740E18"/>
    <w:rsid w:val="780A371A"/>
    <w:rsid w:val="781101C0"/>
    <w:rsid w:val="7824373B"/>
    <w:rsid w:val="7831103D"/>
    <w:rsid w:val="784521A0"/>
    <w:rsid w:val="785B5D23"/>
    <w:rsid w:val="786755ED"/>
    <w:rsid w:val="788D1579"/>
    <w:rsid w:val="78AE035E"/>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firstLine="640" w:firstLineChars="200"/>
      <w:jc w:val="both"/>
      <w:outlineLvl w:val="1"/>
    </w:pPr>
    <w:rPr>
      <w:rFonts w:ascii="黑体" w:hAnsi="黑体" w:eastAsia="黑体"/>
      <w:sz w:val="32"/>
      <w:szCs w:val="22"/>
      <w:lang w:val="en-US"/>
    </w:rPr>
  </w:style>
  <w:style w:type="paragraph" w:styleId="4">
    <w:name w:val="heading 3"/>
    <w:basedOn w:val="1"/>
    <w:next w:val="1"/>
    <w:link w:val="22"/>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unhideWhenUsed/>
    <w:qFormat/>
    <w:uiPriority w:val="99"/>
  </w:style>
  <w:style w:type="paragraph" w:styleId="6">
    <w:name w:val="footer"/>
    <w:basedOn w:val="1"/>
    <w:link w:val="18"/>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7"/>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paragraph" w:styleId="9">
    <w:name w:val="annotation subject"/>
    <w:basedOn w:val="5"/>
    <w:next w:val="5"/>
    <w:link w:val="26"/>
    <w:autoRedefine/>
    <w:semiHidden/>
    <w:unhideWhenUsed/>
    <w:qFormat/>
    <w:uiPriority w:val="99"/>
    <w:rPr>
      <w:b/>
      <w:bCs/>
    </w:rPr>
  </w:style>
  <w:style w:type="character" w:styleId="12">
    <w:name w:val="Strong"/>
    <w:autoRedefine/>
    <w:qFormat/>
    <w:uiPriority w:val="22"/>
    <w:rPr>
      <w:b/>
      <w:bCs/>
    </w:rPr>
  </w:style>
  <w:style w:type="character" w:styleId="13">
    <w:name w:val="FollowedHyperlink"/>
    <w:basedOn w:val="11"/>
    <w:autoRedefine/>
    <w:semiHidden/>
    <w:unhideWhenUsed/>
    <w:qFormat/>
    <w:uiPriority w:val="99"/>
    <w:rPr>
      <w:color w:val="954F72" w:themeColor="followedHyperlink"/>
      <w:u w:val="single"/>
      <w14:textFill>
        <w14:solidFill>
          <w14:schemeClr w14:val="folHlink"/>
        </w14:solidFill>
      </w14:textFill>
    </w:rPr>
  </w:style>
  <w:style w:type="character" w:styleId="14">
    <w:name w:val="Emphasis"/>
    <w:basedOn w:val="11"/>
    <w:autoRedefine/>
    <w:qFormat/>
    <w:uiPriority w:val="20"/>
    <w:rPr>
      <w:i/>
      <w:iCs/>
    </w:rPr>
  </w:style>
  <w:style w:type="character" w:styleId="15">
    <w:name w:val="Hyperlink"/>
    <w:basedOn w:val="11"/>
    <w:autoRedefine/>
    <w:unhideWhenUsed/>
    <w:qFormat/>
    <w:uiPriority w:val="99"/>
    <w:rPr>
      <w:color w:val="0563C1" w:themeColor="hyperlink"/>
      <w:u w:val="single"/>
      <w14:textFill>
        <w14:solidFill>
          <w14:schemeClr w14:val="hlink"/>
        </w14:solidFill>
      </w14:textFill>
    </w:rPr>
  </w:style>
  <w:style w:type="character" w:styleId="16">
    <w:name w:val="annotation reference"/>
    <w:basedOn w:val="11"/>
    <w:autoRedefine/>
    <w:semiHidden/>
    <w:unhideWhenUsed/>
    <w:qFormat/>
    <w:uiPriority w:val="99"/>
    <w:rPr>
      <w:sz w:val="21"/>
      <w:szCs w:val="21"/>
    </w:rPr>
  </w:style>
  <w:style w:type="character" w:customStyle="1" w:styleId="17">
    <w:name w:val="页眉 字符"/>
    <w:basedOn w:val="11"/>
    <w:link w:val="7"/>
    <w:autoRedefine/>
    <w:qFormat/>
    <w:uiPriority w:val="99"/>
    <w:rPr>
      <w:sz w:val="18"/>
      <w:szCs w:val="18"/>
    </w:rPr>
  </w:style>
  <w:style w:type="character" w:customStyle="1" w:styleId="18">
    <w:name w:val="页脚 字符"/>
    <w:basedOn w:val="11"/>
    <w:link w:val="6"/>
    <w:autoRedefine/>
    <w:qFormat/>
    <w:uiPriority w:val="99"/>
    <w:rPr>
      <w:sz w:val="18"/>
      <w:szCs w:val="18"/>
    </w:rPr>
  </w:style>
  <w:style w:type="character" w:customStyle="1" w:styleId="19">
    <w:name w:val="未处理的提及1"/>
    <w:basedOn w:val="11"/>
    <w:autoRedefine/>
    <w:semiHidden/>
    <w:unhideWhenUsed/>
    <w:qFormat/>
    <w:uiPriority w:val="99"/>
    <w:rPr>
      <w:color w:val="605E5C"/>
      <w:shd w:val="clear" w:color="auto" w:fill="E1DFDD"/>
    </w:rPr>
  </w:style>
  <w:style w:type="paragraph" w:styleId="20">
    <w:name w:val="List Paragraph"/>
    <w:basedOn w:val="1"/>
    <w:autoRedefine/>
    <w:qFormat/>
    <w:uiPriority w:val="34"/>
    <w:pPr>
      <w:ind w:firstLine="420" w:firstLineChars="200"/>
    </w:pPr>
  </w:style>
  <w:style w:type="character" w:customStyle="1" w:styleId="21">
    <w:name w:val="未处理的提及2"/>
    <w:basedOn w:val="11"/>
    <w:autoRedefine/>
    <w:semiHidden/>
    <w:unhideWhenUsed/>
    <w:qFormat/>
    <w:uiPriority w:val="99"/>
    <w:rPr>
      <w:color w:val="605E5C"/>
      <w:shd w:val="clear" w:color="auto" w:fill="E1DFDD"/>
    </w:rPr>
  </w:style>
  <w:style w:type="character" w:customStyle="1" w:styleId="22">
    <w:name w:val="标题 3 字符"/>
    <w:link w:val="4"/>
    <w:autoRedefine/>
    <w:qFormat/>
    <w:uiPriority w:val="0"/>
    <w:rPr>
      <w:rFonts w:ascii="方正楷体简体" w:hAnsi="方正楷体简体" w:eastAsia="方正楷体简体"/>
      <w:sz w:val="32"/>
    </w:rPr>
  </w:style>
  <w:style w:type="table" w:customStyle="1" w:styleId="23">
    <w:name w:val="Table Normal1"/>
    <w:autoRedefine/>
    <w:semiHidden/>
    <w:unhideWhenUsed/>
    <w:qFormat/>
    <w:uiPriority w:val="0"/>
    <w:tblPr>
      <w:tblCellMar>
        <w:top w:w="0" w:type="dxa"/>
        <w:left w:w="0" w:type="dxa"/>
        <w:bottom w:w="0" w:type="dxa"/>
        <w:right w:w="0" w:type="dxa"/>
      </w:tblCellMar>
    </w:tblPr>
  </w:style>
  <w:style w:type="character" w:customStyle="1" w:styleId="24">
    <w:name w:val="未处理的提及3"/>
    <w:basedOn w:val="11"/>
    <w:autoRedefine/>
    <w:semiHidden/>
    <w:unhideWhenUsed/>
    <w:qFormat/>
    <w:uiPriority w:val="99"/>
    <w:rPr>
      <w:color w:val="605E5C"/>
      <w:shd w:val="clear" w:color="auto" w:fill="E1DFDD"/>
    </w:rPr>
  </w:style>
  <w:style w:type="character" w:customStyle="1" w:styleId="25">
    <w:name w:val="批注文字 字符"/>
    <w:basedOn w:val="11"/>
    <w:link w:val="5"/>
    <w:autoRedefine/>
    <w:qFormat/>
    <w:uiPriority w:val="99"/>
    <w:rPr>
      <w:rFonts w:eastAsia="Times New Roman"/>
      <w:sz w:val="24"/>
      <w:szCs w:val="24"/>
      <w:lang w:val="en-GB"/>
    </w:rPr>
  </w:style>
  <w:style w:type="character" w:customStyle="1" w:styleId="26">
    <w:name w:val="批注主题 字符"/>
    <w:basedOn w:val="25"/>
    <w:link w:val="9"/>
    <w:autoRedefine/>
    <w:semiHidden/>
    <w:qFormat/>
    <w:uiPriority w:val="99"/>
    <w:rPr>
      <w:rFonts w:eastAsia="Times New Roman"/>
      <w:b/>
      <w:bCs/>
      <w:sz w:val="24"/>
      <w:szCs w:val="24"/>
      <w:lang w:val="en-GB"/>
    </w:rPr>
  </w:style>
  <w:style w:type="paragraph" w:customStyle="1" w:styleId="27">
    <w:name w:val="修订1"/>
    <w:autoRedefine/>
    <w:hidden/>
    <w:unhideWhenUsed/>
    <w:qFormat/>
    <w:uiPriority w:val="99"/>
    <w:rPr>
      <w:rFonts w:ascii="Times New Roman" w:hAnsi="Times New Roman" w:eastAsia="Times New Roman" w:cs="Times New Roman"/>
      <w:sz w:val="24"/>
      <w:szCs w:val="24"/>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674E9-258F-1844-9392-1D4CE2306762}">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1830</Words>
  <Characters>1914</Characters>
  <Lines>14</Lines>
  <Paragraphs>4</Paragraphs>
  <TotalTime>0</TotalTime>
  <ScaleCrop>false</ScaleCrop>
  <LinksUpToDate>false</LinksUpToDate>
  <CharactersWithSpaces>1921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2024-03-31T04:38:00Z</dcterms:created>
  <dc:creator>张 斌</dc:creator>
  <cp:lastModifiedBy>金阳</cp:lastModifiedBy>
  <cp:lastPrinted>2023-02-10T11:47:00Z</cp:lastPrinted>
  <dcterms:modified xsi:type="dcterms:W3CDTF">2024-09-25T09:04:49Z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