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B481E">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23：</w:t>
      </w:r>
    </w:p>
    <w:p w14:paraId="67BA6E4E">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“新型存储芯片创新应用”</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76268425">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（中电海康集团有限公司）</w:t>
      </w:r>
    </w:p>
    <w:p w14:paraId="3EA8692A">
      <w:pPr>
        <w:snapToGrid w:val="0"/>
        <w:spacing w:line="560" w:lineRule="exact"/>
        <w:jc w:val="both"/>
        <w:rPr>
          <w:rFonts w:eastAsia="方正楷体_GBK"/>
          <w:color w:val="000000" w:themeColor="text1"/>
          <w:sz w:val="32"/>
          <w:szCs w:val="32"/>
          <w:lang w:val="en-US"/>
          <w14:textFill>
            <w14:solidFill>
              <w14:schemeClr w14:val="tx1"/>
            </w14:solidFill>
          </w14:textFill>
        </w:rPr>
      </w:pPr>
    </w:p>
    <w:p w14:paraId="73BE1A9D">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0" w:name="_Hlk177807638"/>
      <w:r>
        <w:rPr>
          <w:rFonts w:hint="eastAsia" w:eastAsia="黑体" w:cs="黑体"/>
          <w:color w:val="000000" w:themeColor="text1"/>
          <w:sz w:val="32"/>
          <w:szCs w:val="22"/>
          <w:lang w:val="en-US"/>
          <w14:textFill>
            <w14:solidFill>
              <w14:schemeClr w14:val="tx1"/>
            </w14:solidFill>
          </w14:textFill>
        </w:rPr>
        <w:t>一、出题单位</w:t>
      </w:r>
    </w:p>
    <w:bookmarkEnd w:id="0"/>
    <w:p w14:paraId="28F75F1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中电海康集团有限公司</w:t>
      </w:r>
    </w:p>
    <w:p w14:paraId="35080EE2">
      <w:pPr>
        <w:pStyle w:val="3"/>
        <w:rPr>
          <w:rFonts w:ascii="Times New Roman" w:hAnsi="Times New Roman"/>
        </w:rPr>
      </w:pPr>
      <w:r>
        <w:rPr>
          <w:rFonts w:hint="eastAsia" w:ascii="Times New Roman" w:hAnsi="Times New Roman"/>
        </w:rPr>
        <w:t>二、</w:t>
      </w:r>
      <w:r>
        <w:rPr>
          <w:rFonts w:ascii="Times New Roman" w:hAnsi="Times New Roman"/>
        </w:rPr>
        <w:t>题目名称</w:t>
      </w:r>
    </w:p>
    <w:p w14:paraId="112FD4E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新型存储芯片创新应用</w:t>
      </w:r>
    </w:p>
    <w:p w14:paraId="7307BC31">
      <w:pPr>
        <w:pStyle w:val="3"/>
        <w:rPr>
          <w:rFonts w:ascii="Times New Roman" w:hAnsi="Times New Roman"/>
        </w:rPr>
      </w:pPr>
      <w:r>
        <w:rPr>
          <w:rFonts w:hint="eastAsia" w:ascii="Times New Roman" w:hAnsi="Times New Roman"/>
        </w:rPr>
        <w:t>三、</w:t>
      </w:r>
      <w:r>
        <w:rPr>
          <w:rFonts w:ascii="Times New Roman" w:hAnsi="Times New Roman"/>
        </w:rPr>
        <w:t>题目</w:t>
      </w:r>
      <w:r>
        <w:rPr>
          <w:rFonts w:hint="eastAsia" w:ascii="Times New Roman" w:hAnsi="Times New Roman"/>
        </w:rPr>
        <w:t>介绍</w:t>
      </w:r>
    </w:p>
    <w:p w14:paraId="0ACBA3EF">
      <w:pPr>
        <w:widowControl w:val="0"/>
        <w:spacing w:line="560" w:lineRule="exact"/>
        <w:ind w:firstLine="480" w:firstLineChars="200"/>
        <w:jc w:val="both"/>
        <w:rPr>
          <w:rFonts w:eastAsia="仿宋_GB2312" w:cs="仿宋_GB2312"/>
          <w:color w:val="000000" w:themeColor="text1"/>
          <w:sz w:val="32"/>
          <w:szCs w:val="32"/>
          <w:lang w:val="en-US"/>
          <w14:textFill>
            <w14:solidFill>
              <w14:schemeClr w14:val="tx1"/>
            </w14:solidFill>
          </w14:textFill>
        </w:rPr>
      </w:pPr>
      <w:r>
        <w:rPr>
          <w:rFonts w:eastAsia="方正楷体_GBK"/>
          <w:lang w:val="en-US"/>
        </w:rPr>
        <w:t>（</w:t>
      </w:r>
      <w:r>
        <w:rPr>
          <w:rFonts w:hint="eastAsia" w:eastAsia="仿宋_GB2312" w:cs="仿宋_GB2312"/>
          <w:color w:val="000000" w:themeColor="text1"/>
          <w:sz w:val="32"/>
          <w:szCs w:val="32"/>
          <w:lang w:val="en-US"/>
          <w14:textFill>
            <w14:solidFill>
              <w14:schemeClr w14:val="tx1"/>
            </w14:solidFill>
          </w14:textFill>
        </w:rPr>
        <w:t>一</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题目背景</w:t>
      </w:r>
    </w:p>
    <w:p w14:paraId="415CAC5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存力是</w:t>
      </w:r>
      <w:r>
        <w:rPr>
          <w:rFonts w:eastAsia="仿宋_GB2312" w:cs="仿宋_GB2312"/>
          <w:color w:val="000000" w:themeColor="text1"/>
          <w:sz w:val="32"/>
          <w:szCs w:val="32"/>
          <w:lang w:val="en-US"/>
          <w14:textFill>
            <w14:solidFill>
              <w14:schemeClr w14:val="tx1"/>
            </w14:solidFill>
          </w14:textFill>
        </w:rPr>
        <w:t>AI</w:t>
      </w:r>
      <w:r>
        <w:rPr>
          <w:rFonts w:hint="eastAsia" w:eastAsia="仿宋_GB2312" w:cs="仿宋_GB2312"/>
          <w:color w:val="000000" w:themeColor="text1"/>
          <w:sz w:val="32"/>
          <w:szCs w:val="32"/>
          <w:lang w:val="en-US"/>
          <w14:textFill>
            <w14:solidFill>
              <w14:schemeClr w14:val="tx1"/>
            </w14:solidFill>
          </w14:textFill>
        </w:rPr>
        <w:t>和数字经济的基石，新型存储芯片则是数据存力设施的重要组成部分，是国家战略性新兴产业和未来产业发展的基础构件。新型存储芯片技术的产业化是形成高效能新质生产力的重要载体，有助于推动创新链、产业链、资金链、人才链深度融合，加快</w:t>
      </w:r>
      <w:r>
        <w:rPr>
          <w:rFonts w:eastAsia="仿宋_GB2312" w:cs="仿宋_GB2312"/>
          <w:color w:val="000000" w:themeColor="text1"/>
          <w:sz w:val="32"/>
          <w:szCs w:val="32"/>
          <w:lang w:val="en-US"/>
          <w14:textFill>
            <w14:solidFill>
              <w14:schemeClr w14:val="tx1"/>
            </w14:solidFill>
          </w14:textFill>
        </w:rPr>
        <w:t>AI</w:t>
      </w:r>
      <w:r>
        <w:rPr>
          <w:rFonts w:hint="eastAsia" w:eastAsia="仿宋_GB2312" w:cs="仿宋_GB2312"/>
          <w:color w:val="000000" w:themeColor="text1"/>
          <w:sz w:val="32"/>
          <w:szCs w:val="32"/>
          <w:lang w:val="en-US"/>
          <w14:textFill>
            <w14:solidFill>
              <w14:schemeClr w14:val="tx1"/>
            </w14:solidFill>
          </w14:textFill>
        </w:rPr>
        <w:t>与数字经济等经济增长极的科技创新成果向现实生产力转化。</w:t>
      </w:r>
    </w:p>
    <w:p w14:paraId="1B4B6483">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AI</w:t>
      </w:r>
      <w:r>
        <w:rPr>
          <w:rFonts w:hint="eastAsia" w:eastAsia="仿宋_GB2312" w:cs="仿宋_GB2312"/>
          <w:color w:val="000000" w:themeColor="text1"/>
          <w:sz w:val="32"/>
          <w:szCs w:val="32"/>
          <w:lang w:val="en-US"/>
          <w14:textFill>
            <w14:solidFill>
              <w14:schemeClr w14:val="tx1"/>
            </w14:solidFill>
          </w14:textFill>
        </w:rPr>
        <w:t>与数字经济的快速发展更是从现实角度对存储芯片技术的产业化提出新要求。新一代信息技术与应用的快速发展使得数据量呈现爆发式增长态势，业界对存储器的数量和性能等多方面都提出了新需求，尤其是对于存储芯片在读写速度、功耗、使用寿命、稳定性等性能方面的要求越来越高。而在以上性能方面具有独特优势的新型存储芯片则为科技产业提供了更优解，有助于我国企业以落后节点的技术实现先进节点的性能，实现更高经济效益，提升企业竞争力与业内话语权。新型存储芯片的技术突破与产业化是我国发展自主可控芯片的重要契机。</w:t>
      </w:r>
    </w:p>
    <w:p w14:paraId="365BBB33">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可以说，培育新型存储技术应用生态有助于通过产业链实现放大效应，创造新就业机会、推动经济长期稳定增长，是实现国家战略的重要保障。</w:t>
      </w:r>
    </w:p>
    <w:p w14:paraId="7829638C">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二</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题目介绍</w:t>
      </w:r>
    </w:p>
    <w:p w14:paraId="66DCF1C3">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以“新型存储芯片创新应用”为主题的创意征集大赛。</w:t>
      </w:r>
    </w:p>
    <w:p w14:paraId="4533A214">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新型存储芯片指的是存储介质或芯片架构等底层原理上与传统存储芯片如</w:t>
      </w:r>
      <w:r>
        <w:rPr>
          <w:rFonts w:eastAsia="仿宋_GB2312" w:cs="仿宋_GB2312"/>
          <w:color w:val="000000" w:themeColor="text1"/>
          <w:sz w:val="32"/>
          <w:szCs w:val="32"/>
          <w:lang w:val="en-US"/>
          <w14:textFill>
            <w14:solidFill>
              <w14:schemeClr w14:val="tx1"/>
            </w14:solidFill>
          </w14:textFill>
        </w:rPr>
        <w:t>FLASH</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DRAM</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SRAM</w:t>
      </w:r>
      <w:r>
        <w:rPr>
          <w:rFonts w:hint="eastAsia" w:eastAsia="仿宋_GB2312" w:cs="仿宋_GB2312"/>
          <w:color w:val="000000" w:themeColor="text1"/>
          <w:sz w:val="32"/>
          <w:szCs w:val="32"/>
          <w:lang w:val="en-US"/>
          <w14:textFill>
            <w14:solidFill>
              <w14:schemeClr w14:val="tx1"/>
            </w14:solidFill>
          </w14:textFill>
        </w:rPr>
        <w:t>等有较大差异的存储技术，具体种类包括但不限于阻变存储器（</w:t>
      </w:r>
      <w:r>
        <w:rPr>
          <w:rFonts w:eastAsia="仿宋_GB2312" w:cs="仿宋_GB2312"/>
          <w:color w:val="000000" w:themeColor="text1"/>
          <w:sz w:val="32"/>
          <w:szCs w:val="32"/>
          <w:lang w:val="en-US"/>
          <w14:textFill>
            <w14:solidFill>
              <w14:schemeClr w14:val="tx1"/>
            </w14:solidFill>
          </w14:textFill>
        </w:rPr>
        <w:t>ReRAM/RRAM</w:t>
      </w:r>
      <w:r>
        <w:rPr>
          <w:rFonts w:hint="eastAsia" w:eastAsia="仿宋_GB2312" w:cs="仿宋_GB2312"/>
          <w:color w:val="000000" w:themeColor="text1"/>
          <w:sz w:val="32"/>
          <w:szCs w:val="32"/>
          <w:lang w:val="en-US"/>
          <w14:textFill>
            <w14:solidFill>
              <w14:schemeClr w14:val="tx1"/>
            </w14:solidFill>
          </w14:textFill>
        </w:rPr>
        <w:t>）、铁电存储器（</w:t>
      </w:r>
      <w:r>
        <w:rPr>
          <w:rFonts w:eastAsia="仿宋_GB2312" w:cs="仿宋_GB2312"/>
          <w:color w:val="000000" w:themeColor="text1"/>
          <w:sz w:val="32"/>
          <w:szCs w:val="32"/>
          <w:lang w:val="en-US"/>
          <w14:textFill>
            <w14:solidFill>
              <w14:schemeClr w14:val="tx1"/>
            </w14:solidFill>
          </w14:textFill>
        </w:rPr>
        <w:t>FeRAM/FRAM</w:t>
      </w:r>
      <w:r>
        <w:rPr>
          <w:rFonts w:hint="eastAsia" w:eastAsia="仿宋_GB2312" w:cs="仿宋_GB2312"/>
          <w:color w:val="000000" w:themeColor="text1"/>
          <w:sz w:val="32"/>
          <w:szCs w:val="32"/>
          <w:lang w:val="en-US"/>
          <w14:textFill>
            <w14:solidFill>
              <w14:schemeClr w14:val="tx1"/>
            </w14:solidFill>
          </w14:textFill>
        </w:rPr>
        <w:t>）、磁性存储器（</w:t>
      </w:r>
      <w:r>
        <w:rPr>
          <w:rFonts w:eastAsia="仿宋_GB2312" w:cs="仿宋_GB2312"/>
          <w:color w:val="000000" w:themeColor="text1"/>
          <w:sz w:val="32"/>
          <w:szCs w:val="32"/>
          <w:lang w:val="en-US"/>
          <w14:textFill>
            <w14:solidFill>
              <w14:schemeClr w14:val="tx1"/>
            </w14:solidFill>
          </w14:textFill>
        </w:rPr>
        <w:t>MRAM</w:t>
      </w:r>
      <w:r>
        <w:rPr>
          <w:rFonts w:hint="eastAsia" w:eastAsia="仿宋_GB2312" w:cs="仿宋_GB2312"/>
          <w:color w:val="000000" w:themeColor="text1"/>
          <w:sz w:val="32"/>
          <w:szCs w:val="32"/>
          <w:lang w:val="en-US"/>
          <w14:textFill>
            <w14:solidFill>
              <w14:schemeClr w14:val="tx1"/>
            </w14:solidFill>
          </w14:textFill>
        </w:rPr>
        <w:t>），其特点在于同时具备高读写速率（</w:t>
      </w:r>
      <w:r>
        <w:rPr>
          <w:rFonts w:eastAsia="仿宋_GB2312" w:cs="仿宋_GB2312"/>
          <w:color w:val="000000" w:themeColor="text1"/>
          <w:sz w:val="32"/>
          <w:szCs w:val="32"/>
          <w:lang w:val="en-US"/>
          <w14:textFill>
            <w14:solidFill>
              <w14:schemeClr w14:val="tx1"/>
            </w14:solidFill>
          </w14:textFill>
        </w:rPr>
        <w:t>10</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100ns</w:t>
      </w:r>
      <w:r>
        <w:rPr>
          <w:rFonts w:hint="eastAsia" w:eastAsia="仿宋_GB2312" w:cs="仿宋_GB2312"/>
          <w:color w:val="000000" w:themeColor="text1"/>
          <w:sz w:val="32"/>
          <w:szCs w:val="32"/>
          <w:lang w:val="en-US"/>
          <w14:textFill>
            <w14:solidFill>
              <w14:schemeClr w14:val="tx1"/>
            </w14:solidFill>
          </w14:textFill>
        </w:rPr>
        <w:t>级别）、高耐久性（</w:t>
      </w:r>
      <w:r>
        <w:rPr>
          <w:rFonts w:eastAsia="仿宋_GB2312" w:cs="仿宋_GB2312"/>
          <w:color w:val="000000" w:themeColor="text1"/>
          <w:sz w:val="32"/>
          <w:szCs w:val="32"/>
          <w:lang w:val="en-US"/>
          <w14:textFill>
            <w14:solidFill>
              <w14:schemeClr w14:val="tx1"/>
            </w14:solidFill>
          </w14:textFill>
        </w:rPr>
        <w:t>10^9</w:t>
      </w:r>
      <w:r>
        <w:rPr>
          <w:rFonts w:hint="eastAsia" w:eastAsia="仿宋_GB2312" w:cs="仿宋_GB2312"/>
          <w:color w:val="000000" w:themeColor="text1"/>
          <w:sz w:val="32"/>
          <w:szCs w:val="32"/>
          <w:lang w:val="en-US"/>
          <w14:textFill>
            <w14:solidFill>
              <w14:schemeClr w14:val="tx1"/>
            </w14:solidFill>
          </w14:textFill>
        </w:rPr>
        <w:t>次以上）、低功耗以及非易失性等特性，但仍存在芯片容量较小（</w:t>
      </w:r>
      <w:r>
        <w:rPr>
          <w:rFonts w:eastAsia="仿宋_GB2312" w:cs="仿宋_GB2312"/>
          <w:color w:val="000000" w:themeColor="text1"/>
          <w:sz w:val="32"/>
          <w:szCs w:val="32"/>
          <w:lang w:val="en-US"/>
          <w14:textFill>
            <w14:solidFill>
              <w14:schemeClr w14:val="tx1"/>
            </w14:solidFill>
          </w14:textFill>
        </w:rPr>
        <w:t>1GB</w:t>
      </w:r>
      <w:r>
        <w:rPr>
          <w:rFonts w:hint="eastAsia" w:eastAsia="仿宋_GB2312" w:cs="仿宋_GB2312"/>
          <w:color w:val="000000" w:themeColor="text1"/>
          <w:sz w:val="32"/>
          <w:szCs w:val="32"/>
          <w:lang w:val="en-US"/>
          <w14:textFill>
            <w14:solidFill>
              <w14:schemeClr w14:val="tx1"/>
            </w14:solidFill>
          </w14:textFill>
        </w:rPr>
        <w:t>以下）等尚待突破的问题。</w:t>
      </w:r>
    </w:p>
    <w:p w14:paraId="68DDA3BE">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题中的创新应用是指（</w:t>
      </w: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）新型存储芯片的应用可为市场已有产品带来较大的性能提升；（</w:t>
      </w: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）新型存储芯片可适用的新产品、新场景、新领域。</w:t>
      </w:r>
    </w:p>
    <w:p w14:paraId="19DF9EFF">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应用场景的赛道选择上，本题目不设限制，可考虑超低功耗、人工智能、物联感知、智能制造和机器人等领域。</w:t>
      </w:r>
    </w:p>
    <w:p w14:paraId="32E3507D">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注意：本题目聚焦于前沿技术的商业化与产业化应用，欢迎非相关技术背景的同学报名参加。本题目以《新型存储芯片产品应用方案》报告形式提交参赛作品，若形成产品样机可获得附加分数。</w:t>
      </w:r>
    </w:p>
    <w:p w14:paraId="35DD5296">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1" w:name="_Hlk177808698"/>
      <w:r>
        <w:rPr>
          <w:rFonts w:hint="eastAsia" w:eastAsia="黑体" w:cs="黑体"/>
          <w:color w:val="000000" w:themeColor="text1"/>
          <w:sz w:val="32"/>
          <w:szCs w:val="22"/>
          <w:lang w:val="en-US"/>
          <w14:textFill>
            <w14:solidFill>
              <w14:schemeClr w14:val="tx1"/>
            </w14:solidFill>
          </w14:textFill>
        </w:rPr>
        <w:t>四、参赛对象</w:t>
      </w:r>
    </w:p>
    <w:p w14:paraId="06B624DB">
      <w:pPr>
        <w:spacing w:line="560" w:lineRule="exact"/>
        <w:ind w:firstLine="640" w:firstLineChars="200"/>
        <w:rPr>
          <w:rFonts w:eastAsia="仿宋_GB2312" w:cs="仿宋_GB2312"/>
          <w:sz w:val="32"/>
          <w:szCs w:val="32"/>
          <w:lang w:val="en-US"/>
        </w:rPr>
      </w:pPr>
      <w:bookmarkStart w:id="2" w:name="_Hlk177807919"/>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14B0894D">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53901B19">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5A6C7CE6">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0F007633">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1"/>
    <w:bookmarkEnd w:id="2"/>
    <w:p w14:paraId="571D1366">
      <w:pPr>
        <w:pStyle w:val="3"/>
        <w:rPr>
          <w:rFonts w:ascii="Times New Roman" w:hAnsi="Times New Roman"/>
        </w:rPr>
      </w:pPr>
      <w:r>
        <w:rPr>
          <w:rFonts w:hint="eastAsia" w:ascii="Times New Roman" w:hAnsi="Times New Roman"/>
        </w:rPr>
        <w:t>五、</w:t>
      </w:r>
      <w:r>
        <w:rPr>
          <w:rFonts w:ascii="Times New Roman" w:hAnsi="Times New Roman"/>
        </w:rPr>
        <w:t>答题要求</w:t>
      </w:r>
    </w:p>
    <w:p w14:paraId="117E1BB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各参赛队伍需提交《新型存储芯片产品应用方案》报告一份，若能提供产品原理</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工程样机可获得附加分数。</w:t>
      </w:r>
    </w:p>
    <w:p w14:paraId="2DFA8916">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新型存储芯片产品应用方案》主要内容包括但不限于目标市场、行业规模、竞争格局、客户需求分析、产品定义与功能性能、产品与该新型存储芯片相关性、新型存储芯片为产品带来的性能优势等。报告需说明产品使用的新型存储芯片具体种类（如</w:t>
      </w:r>
      <w:r>
        <w:rPr>
          <w:rFonts w:eastAsia="仿宋_GB2312" w:cs="仿宋_GB2312"/>
          <w:color w:val="000000" w:themeColor="text1"/>
          <w:sz w:val="32"/>
          <w:szCs w:val="32"/>
          <w:lang w:val="en-US"/>
          <w14:textFill>
            <w14:solidFill>
              <w14:schemeClr w14:val="tx1"/>
            </w14:solidFill>
          </w14:textFill>
        </w:rPr>
        <w:t>MRAM</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FRAM</w:t>
      </w:r>
      <w:r>
        <w:rPr>
          <w:rFonts w:hint="eastAsia" w:eastAsia="仿宋_GB2312" w:cs="仿宋_GB2312"/>
          <w:color w:val="000000" w:themeColor="text1"/>
          <w:sz w:val="32"/>
          <w:szCs w:val="32"/>
          <w:lang w:val="en-US"/>
          <w14:textFill>
            <w14:solidFill>
              <w14:schemeClr w14:val="tx1"/>
            </w14:solidFill>
          </w14:textFill>
        </w:rPr>
        <w:t>），要求产品定义清晰、数据准确、报告结构完整、文字简洁流畅。报告内容必须紧紧围绕本次项目的主题，对解决新型存储芯片的现实应用问题具有指导意义，并具有一定的创造性。</w:t>
      </w:r>
    </w:p>
    <w:p w14:paraId="7F69D4A6">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如有产品样机，则产品样机需结构完整、能实现所定义的基础功能；项目团队若无新型存储芯片，测试时可先用传统存储芯片（</w:t>
      </w:r>
      <w:r>
        <w:rPr>
          <w:rFonts w:eastAsia="仿宋_GB2312" w:cs="仿宋_GB2312"/>
          <w:color w:val="000000" w:themeColor="text1"/>
          <w:sz w:val="32"/>
          <w:szCs w:val="32"/>
          <w:lang w:val="en-US"/>
          <w14:textFill>
            <w14:solidFill>
              <w14:schemeClr w14:val="tx1"/>
            </w14:solidFill>
          </w14:textFill>
        </w:rPr>
        <w:t>NORFlash</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NANDFlash</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DRAM</w:t>
      </w:r>
      <w:r>
        <w:rPr>
          <w:rFonts w:hint="eastAsia" w:eastAsia="仿宋_GB2312" w:cs="仿宋_GB2312"/>
          <w:color w:val="000000" w:themeColor="text1"/>
          <w:sz w:val="32"/>
          <w:szCs w:val="32"/>
          <w:lang w:val="en-US"/>
          <w14:textFill>
            <w14:solidFill>
              <w14:schemeClr w14:val="tx1"/>
            </w14:solidFill>
          </w14:textFill>
        </w:rPr>
        <w:t>等独立式或嵌入式存储芯片）实现基本功能。初赛可仅提交产品的电路原理图、</w:t>
      </w:r>
      <w:r>
        <w:rPr>
          <w:rFonts w:eastAsia="仿宋_GB2312" w:cs="仿宋_GB2312"/>
          <w:color w:val="000000" w:themeColor="text1"/>
          <w:sz w:val="32"/>
          <w:szCs w:val="32"/>
          <w:lang w:val="en-US"/>
          <w14:textFill>
            <w14:solidFill>
              <w14:schemeClr w14:val="tx1"/>
            </w14:solidFill>
          </w14:textFill>
        </w:rPr>
        <w:t>PCB</w:t>
      </w:r>
      <w:r>
        <w:rPr>
          <w:rFonts w:hint="eastAsia" w:eastAsia="仿宋_GB2312" w:cs="仿宋_GB2312"/>
          <w:color w:val="000000" w:themeColor="text1"/>
          <w:sz w:val="32"/>
          <w:szCs w:val="32"/>
          <w:lang w:val="en-US"/>
          <w14:textFill>
            <w14:solidFill>
              <w14:schemeClr w14:val="tx1"/>
            </w14:solidFill>
          </w14:textFill>
        </w:rPr>
        <w:t>板图、软件源代码等部分文件，终审及擂台赛需进行样机展示，样机应能完整演示其基本功能。</w:t>
      </w:r>
    </w:p>
    <w:p w14:paraId="1A0FE555">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初赛作品提交截止日期：</w:t>
      </w:r>
      <w:r>
        <w:rPr>
          <w:rFonts w:eastAsia="仿宋_GB2312" w:cs="仿宋_GB2312"/>
          <w:color w:val="000000" w:themeColor="text1"/>
          <w:sz w:val="32"/>
          <w:szCs w:val="32"/>
          <w:lang w:val="en-US"/>
          <w14:textFill>
            <w14:solidFill>
              <w14:schemeClr w14:val="tx1"/>
            </w14:solidFill>
          </w14:textFill>
        </w:rPr>
        <w:t>2024</w:t>
      </w:r>
      <w:r>
        <w:rPr>
          <w:rFonts w:hint="eastAsia" w:eastAsia="仿宋_GB2312" w:cs="仿宋_GB2312"/>
          <w:color w:val="000000" w:themeColor="text1"/>
          <w:sz w:val="32"/>
          <w:szCs w:val="32"/>
          <w:lang w:val="en-US"/>
          <w14:textFill>
            <w14:solidFill>
              <w14:schemeClr w14:val="tx1"/>
            </w14:solidFill>
          </w14:textFill>
        </w:rPr>
        <w:t>年</w:t>
      </w:r>
      <w:r>
        <w:rPr>
          <w:rFonts w:eastAsia="仿宋_GB2312" w:cs="仿宋_GB2312"/>
          <w:color w:val="000000" w:themeColor="text1"/>
          <w:sz w:val="32"/>
          <w:szCs w:val="32"/>
          <w:lang w:val="en-US"/>
          <w14:textFill>
            <w14:solidFill>
              <w14:schemeClr w14:val="tx1"/>
            </w14:solidFill>
          </w14:textFill>
        </w:rPr>
        <w:t>7</w:t>
      </w:r>
      <w:r>
        <w:rPr>
          <w:rFonts w:hint="eastAsia" w:eastAsia="仿宋_GB2312" w:cs="仿宋_GB2312"/>
          <w:color w:val="000000" w:themeColor="text1"/>
          <w:sz w:val="32"/>
          <w:szCs w:val="32"/>
          <w:lang w:val="en-US"/>
          <w14:textFill>
            <w14:solidFill>
              <w14:schemeClr w14:val="tx1"/>
            </w14:solidFill>
          </w14:textFill>
        </w:rPr>
        <w:t>月</w:t>
      </w:r>
      <w:r>
        <w:rPr>
          <w:rFonts w:eastAsia="仿宋_GB2312" w:cs="仿宋_GB2312"/>
          <w:color w:val="000000" w:themeColor="text1"/>
          <w:sz w:val="32"/>
          <w:szCs w:val="32"/>
          <w:lang w:val="en-US"/>
          <w14:textFill>
            <w14:solidFill>
              <w14:schemeClr w14:val="tx1"/>
            </w14:solidFill>
          </w14:textFill>
        </w:rPr>
        <w:t>31</w:t>
      </w:r>
      <w:r>
        <w:rPr>
          <w:rFonts w:hint="eastAsia" w:eastAsia="仿宋_GB2312" w:cs="仿宋_GB2312"/>
          <w:color w:val="000000" w:themeColor="text1"/>
          <w:sz w:val="32"/>
          <w:szCs w:val="32"/>
          <w:lang w:val="en-US"/>
          <w14:textFill>
            <w14:solidFill>
              <w14:schemeClr w14:val="tx1"/>
            </w14:solidFill>
          </w14:textFill>
        </w:rPr>
        <w:t>日</w:t>
      </w:r>
      <w:r>
        <w:rPr>
          <w:rFonts w:eastAsia="仿宋_GB2312" w:cs="仿宋_GB2312"/>
          <w:color w:val="000000" w:themeColor="text1"/>
          <w:sz w:val="32"/>
          <w:szCs w:val="32"/>
          <w:lang w:val="en-US"/>
          <w14:textFill>
            <w14:solidFill>
              <w14:schemeClr w14:val="tx1"/>
            </w14:solidFill>
          </w14:textFill>
        </w:rPr>
        <w:t>24</w:t>
      </w:r>
      <w:r>
        <w:rPr>
          <w:rFonts w:hint="eastAsia" w:eastAsia="仿宋_GB2312" w:cs="仿宋_GB2312"/>
          <w:color w:val="000000" w:themeColor="text1"/>
          <w:sz w:val="32"/>
          <w:szCs w:val="32"/>
          <w:lang w:val="en-US"/>
          <w14:textFill>
            <w14:solidFill>
              <w14:schemeClr w14:val="tx1"/>
            </w14:solidFill>
          </w14:textFill>
        </w:rPr>
        <w:t>点。</w:t>
      </w:r>
    </w:p>
    <w:p w14:paraId="6EDDBFA0">
      <w:pPr>
        <w:pStyle w:val="3"/>
        <w:rPr>
          <w:rFonts w:ascii="Times New Roman" w:hAnsi="Times New Roman"/>
        </w:rPr>
      </w:pPr>
      <w:r>
        <w:rPr>
          <w:rFonts w:hint="eastAsia" w:ascii="Times New Roman" w:hAnsi="Times New Roman"/>
        </w:rPr>
        <w:t>六、</w:t>
      </w:r>
      <w:r>
        <w:rPr>
          <w:rFonts w:ascii="Times New Roman" w:hAnsi="Times New Roman"/>
        </w:rPr>
        <w:t>作品评选</w:t>
      </w:r>
      <w:r>
        <w:rPr>
          <w:rFonts w:hint="eastAsia" w:ascii="Times New Roman" w:hAnsi="Times New Roman" w:cs="黑体"/>
          <w:color w:val="000000" w:themeColor="text1"/>
          <w14:textFill>
            <w14:solidFill>
              <w14:schemeClr w14:val="tx1"/>
            </w14:solidFill>
          </w14:textFill>
        </w:rPr>
        <w:t>参考</w:t>
      </w:r>
      <w:r>
        <w:rPr>
          <w:rFonts w:ascii="Times New Roman" w:hAnsi="Times New Roman"/>
        </w:rPr>
        <w:t>标准</w:t>
      </w:r>
    </w:p>
    <w:p w14:paraId="4C0D3D7B">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初审根据下述评审内容，以</w:t>
      </w:r>
      <w:r>
        <w:rPr>
          <w:rFonts w:eastAsia="仿宋_GB2312" w:cs="仿宋_GB2312"/>
          <w:color w:val="000000"/>
          <w:sz w:val="32"/>
          <w:szCs w:val="32"/>
        </w:rPr>
        <w:t>100</w:t>
      </w:r>
      <w:r>
        <w:rPr>
          <w:rFonts w:hint="eastAsia" w:eastAsia="仿宋_GB2312" w:cs="仿宋_GB2312"/>
          <w:color w:val="000000"/>
          <w:sz w:val="32"/>
          <w:szCs w:val="32"/>
        </w:rPr>
        <w:t>分制进行打分，根据各参赛作品得分情况决定进入终审的参赛团队名单。作品总分包括产品、市场、技术和样机附加分四大部分，其中产品</w:t>
      </w:r>
      <w:r>
        <w:rPr>
          <w:rFonts w:eastAsia="仿宋_GB2312" w:cs="仿宋_GB2312"/>
          <w:color w:val="000000"/>
          <w:sz w:val="32"/>
          <w:szCs w:val="32"/>
        </w:rPr>
        <w:t>20</w:t>
      </w:r>
      <w:r>
        <w:rPr>
          <w:rFonts w:hint="eastAsia" w:eastAsia="仿宋_GB2312" w:cs="仿宋_GB2312"/>
          <w:color w:val="000000"/>
          <w:sz w:val="32"/>
          <w:szCs w:val="32"/>
        </w:rPr>
        <w:t>分、市场</w:t>
      </w:r>
      <w:r>
        <w:rPr>
          <w:rFonts w:eastAsia="仿宋_GB2312" w:cs="仿宋_GB2312"/>
          <w:color w:val="000000"/>
          <w:sz w:val="32"/>
          <w:szCs w:val="32"/>
        </w:rPr>
        <w:t>30</w:t>
      </w:r>
      <w:r>
        <w:rPr>
          <w:rFonts w:hint="eastAsia" w:eastAsia="仿宋_GB2312" w:cs="仿宋_GB2312"/>
          <w:color w:val="000000"/>
          <w:sz w:val="32"/>
          <w:szCs w:val="32"/>
        </w:rPr>
        <w:t>分、技术</w:t>
      </w:r>
      <w:r>
        <w:rPr>
          <w:rFonts w:eastAsia="仿宋_GB2312" w:cs="仿宋_GB2312"/>
          <w:color w:val="000000"/>
          <w:sz w:val="32"/>
          <w:szCs w:val="32"/>
        </w:rPr>
        <w:t>40</w:t>
      </w:r>
      <w:r>
        <w:rPr>
          <w:rFonts w:hint="eastAsia" w:eastAsia="仿宋_GB2312" w:cs="仿宋_GB2312"/>
          <w:color w:val="000000"/>
          <w:sz w:val="32"/>
          <w:szCs w:val="32"/>
        </w:rPr>
        <w:t>分、样机附加分</w:t>
      </w:r>
      <w:r>
        <w:rPr>
          <w:rFonts w:eastAsia="仿宋_GB2312" w:cs="仿宋_GB2312"/>
          <w:color w:val="000000"/>
          <w:sz w:val="32"/>
          <w:szCs w:val="32"/>
        </w:rPr>
        <w:t>10</w:t>
      </w:r>
      <w:r>
        <w:rPr>
          <w:rFonts w:hint="eastAsia" w:eastAsia="仿宋_GB2312" w:cs="仿宋_GB2312"/>
          <w:color w:val="000000"/>
          <w:sz w:val="32"/>
          <w:szCs w:val="32"/>
        </w:rPr>
        <w:t>分。</w:t>
      </w:r>
    </w:p>
    <w:p w14:paraId="7D844DC7">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1.</w:t>
      </w:r>
      <w:r>
        <w:rPr>
          <w:rFonts w:hint="eastAsia" w:eastAsia="仿宋_GB2312" w:cs="仿宋_GB2312"/>
          <w:color w:val="000000"/>
          <w:sz w:val="32"/>
          <w:szCs w:val="32"/>
        </w:rPr>
        <w:t>产品：定位、功能、性能描述清晰，产品具备刚需性可得高分（</w:t>
      </w:r>
      <w:r>
        <w:rPr>
          <w:rFonts w:eastAsia="仿宋_GB2312" w:cs="仿宋_GB2312"/>
          <w:color w:val="000000"/>
          <w:sz w:val="32"/>
          <w:szCs w:val="32"/>
        </w:rPr>
        <w:t>20</w:t>
      </w:r>
      <w:r>
        <w:rPr>
          <w:rFonts w:hint="eastAsia" w:eastAsia="仿宋_GB2312" w:cs="仿宋_GB2312"/>
          <w:color w:val="000000"/>
          <w:sz w:val="32"/>
          <w:szCs w:val="32"/>
        </w:rPr>
        <w:t>分）</w:t>
      </w:r>
    </w:p>
    <w:p w14:paraId="57A8BD55">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）产品定位：需详细描述该产品目标客户、应用场景及其刚需性（</w:t>
      </w:r>
      <w:r>
        <w:rPr>
          <w:rFonts w:eastAsia="仿宋_GB2312" w:cs="仿宋_GB2312"/>
          <w:color w:val="000000"/>
          <w:sz w:val="32"/>
          <w:szCs w:val="32"/>
        </w:rPr>
        <w:t>10</w:t>
      </w:r>
      <w:r>
        <w:rPr>
          <w:rFonts w:hint="eastAsia" w:eastAsia="仿宋_GB2312" w:cs="仿宋_GB2312"/>
          <w:color w:val="000000"/>
          <w:sz w:val="32"/>
          <w:szCs w:val="32"/>
        </w:rPr>
        <w:t>分）</w:t>
      </w:r>
    </w:p>
    <w:p w14:paraId="7F745166">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）产品功能：完整清晰地介绍该产品用途及具体功能（</w:t>
      </w:r>
      <w:r>
        <w:rPr>
          <w:rFonts w:eastAsia="仿宋_GB2312" w:cs="仿宋_GB2312"/>
          <w:color w:val="000000"/>
          <w:sz w:val="32"/>
          <w:szCs w:val="32"/>
        </w:rPr>
        <w:t>5</w:t>
      </w:r>
      <w:r>
        <w:rPr>
          <w:rFonts w:hint="eastAsia" w:eastAsia="仿宋_GB2312" w:cs="仿宋_GB2312"/>
          <w:color w:val="000000"/>
          <w:sz w:val="32"/>
          <w:szCs w:val="32"/>
        </w:rPr>
        <w:t>分）</w:t>
      </w:r>
    </w:p>
    <w:p w14:paraId="2C63A8FF">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）产品性能：明确产品的核心参数指标（</w:t>
      </w:r>
      <w:r>
        <w:rPr>
          <w:rFonts w:eastAsia="仿宋_GB2312" w:cs="仿宋_GB2312"/>
          <w:color w:val="000000"/>
          <w:sz w:val="32"/>
          <w:szCs w:val="32"/>
        </w:rPr>
        <w:t>5</w:t>
      </w:r>
      <w:r>
        <w:rPr>
          <w:rFonts w:hint="eastAsia" w:eastAsia="仿宋_GB2312" w:cs="仿宋_GB2312"/>
          <w:color w:val="000000"/>
          <w:sz w:val="32"/>
          <w:szCs w:val="32"/>
        </w:rPr>
        <w:t>分）</w:t>
      </w:r>
    </w:p>
    <w:p w14:paraId="06570AB1">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2.</w:t>
      </w:r>
      <w:r>
        <w:rPr>
          <w:rFonts w:hint="eastAsia" w:eastAsia="仿宋_GB2312" w:cs="仿宋_GB2312"/>
          <w:color w:val="000000"/>
          <w:sz w:val="32"/>
          <w:szCs w:val="32"/>
        </w:rPr>
        <w:t>市场：产品的市场规模越大、市场增速越快、市场可拓展性越强，评分越高（</w:t>
      </w:r>
      <w:r>
        <w:rPr>
          <w:rFonts w:eastAsia="仿宋_GB2312" w:cs="仿宋_GB2312"/>
          <w:color w:val="000000"/>
          <w:sz w:val="32"/>
          <w:szCs w:val="32"/>
        </w:rPr>
        <w:t>30</w:t>
      </w:r>
      <w:r>
        <w:rPr>
          <w:rFonts w:hint="eastAsia" w:eastAsia="仿宋_GB2312" w:cs="仿宋_GB2312"/>
          <w:color w:val="000000"/>
          <w:sz w:val="32"/>
          <w:szCs w:val="32"/>
        </w:rPr>
        <w:t>分）</w:t>
      </w:r>
    </w:p>
    <w:p w14:paraId="5441E9CA">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）目标客户市场规模：一年内产品的目标市场出货量或销售额（需要有数据支撑）（</w:t>
      </w:r>
      <w:r>
        <w:rPr>
          <w:rFonts w:eastAsia="仿宋_GB2312" w:cs="仿宋_GB2312"/>
          <w:color w:val="000000"/>
          <w:sz w:val="32"/>
          <w:szCs w:val="32"/>
        </w:rPr>
        <w:t>10</w:t>
      </w:r>
      <w:r>
        <w:rPr>
          <w:rFonts w:hint="eastAsia" w:eastAsia="仿宋_GB2312" w:cs="仿宋_GB2312"/>
          <w:color w:val="000000"/>
          <w:sz w:val="32"/>
          <w:szCs w:val="32"/>
        </w:rPr>
        <w:t>分）</w:t>
      </w:r>
    </w:p>
    <w:p w14:paraId="7FB2BAC7">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）目标客户市场增速：市场规模在一定时间内的增长率（需要有数据支撑）（</w:t>
      </w:r>
      <w:r>
        <w:rPr>
          <w:rFonts w:eastAsia="仿宋_GB2312" w:cs="仿宋_GB2312"/>
          <w:color w:val="000000"/>
          <w:sz w:val="32"/>
          <w:szCs w:val="32"/>
        </w:rPr>
        <w:t>10</w:t>
      </w:r>
      <w:r>
        <w:rPr>
          <w:rFonts w:hint="eastAsia" w:eastAsia="仿宋_GB2312" w:cs="仿宋_GB2312"/>
          <w:color w:val="000000"/>
          <w:sz w:val="32"/>
          <w:szCs w:val="32"/>
        </w:rPr>
        <w:t>分）</w:t>
      </w:r>
    </w:p>
    <w:p w14:paraId="06B460AE">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）市场可拓展性：产品是否可应用于其他场景或人群（</w:t>
      </w:r>
      <w:r>
        <w:rPr>
          <w:rFonts w:eastAsia="仿宋_GB2312" w:cs="仿宋_GB2312"/>
          <w:color w:val="000000"/>
          <w:sz w:val="32"/>
          <w:szCs w:val="32"/>
        </w:rPr>
        <w:t>10</w:t>
      </w:r>
      <w:r>
        <w:rPr>
          <w:rFonts w:hint="eastAsia" w:eastAsia="仿宋_GB2312" w:cs="仿宋_GB2312"/>
          <w:color w:val="000000"/>
          <w:sz w:val="32"/>
          <w:szCs w:val="32"/>
        </w:rPr>
        <w:t>分）</w:t>
      </w:r>
    </w:p>
    <w:p w14:paraId="50ED9467">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3.</w:t>
      </w:r>
      <w:r>
        <w:rPr>
          <w:rFonts w:hint="eastAsia" w:eastAsia="仿宋_GB2312" w:cs="仿宋_GB2312"/>
          <w:color w:val="000000"/>
          <w:sz w:val="32"/>
          <w:szCs w:val="32"/>
        </w:rPr>
        <w:t>技术：技术描述清晰，与新型存储芯片适配，新型存储芯片能够为产品带来显著性能提升可得高分（</w:t>
      </w:r>
      <w:r>
        <w:rPr>
          <w:rFonts w:eastAsia="仿宋_GB2312" w:cs="仿宋_GB2312"/>
          <w:color w:val="000000"/>
          <w:sz w:val="32"/>
          <w:szCs w:val="32"/>
        </w:rPr>
        <w:t>40</w:t>
      </w:r>
      <w:r>
        <w:rPr>
          <w:rFonts w:hint="eastAsia" w:eastAsia="仿宋_GB2312" w:cs="仿宋_GB2312"/>
          <w:color w:val="000000"/>
          <w:sz w:val="32"/>
          <w:szCs w:val="32"/>
        </w:rPr>
        <w:t>分）</w:t>
      </w:r>
    </w:p>
    <w:p w14:paraId="45631F2A">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）新型存储芯片的适用性：需写明该产品发挥了新型存储芯片的哪些性能优势，性能优势包括但不限于高读写速率（</w:t>
      </w:r>
      <w:r>
        <w:rPr>
          <w:rFonts w:eastAsia="仿宋_GB2312" w:cs="仿宋_GB2312"/>
          <w:color w:val="000000"/>
          <w:sz w:val="32"/>
          <w:szCs w:val="32"/>
        </w:rPr>
        <w:t>10-100ns</w:t>
      </w:r>
      <w:r>
        <w:rPr>
          <w:rFonts w:hint="eastAsia" w:eastAsia="仿宋_GB2312" w:cs="仿宋_GB2312"/>
          <w:color w:val="000000"/>
          <w:sz w:val="32"/>
          <w:szCs w:val="32"/>
        </w:rPr>
        <w:t>级别）、高耐久性（</w:t>
      </w:r>
      <w:r>
        <w:rPr>
          <w:rFonts w:eastAsia="仿宋_GB2312" w:cs="仿宋_GB2312"/>
          <w:color w:val="000000"/>
          <w:sz w:val="32"/>
          <w:szCs w:val="32"/>
        </w:rPr>
        <w:t>10^9</w:t>
      </w:r>
      <w:r>
        <w:rPr>
          <w:rFonts w:hint="eastAsia" w:eastAsia="仿宋_GB2312" w:cs="仿宋_GB2312"/>
          <w:color w:val="000000"/>
          <w:sz w:val="32"/>
          <w:szCs w:val="32"/>
        </w:rPr>
        <w:t>次以上）、低功耗以及非易失性；需考虑新型存储芯片的容量限制（</w:t>
      </w:r>
      <w:r>
        <w:rPr>
          <w:rFonts w:eastAsia="仿宋_GB2312" w:cs="仿宋_GB2312"/>
          <w:color w:val="000000"/>
          <w:sz w:val="32"/>
          <w:szCs w:val="32"/>
        </w:rPr>
        <w:t>1GB</w:t>
      </w:r>
      <w:r>
        <w:rPr>
          <w:rFonts w:hint="eastAsia" w:eastAsia="仿宋_GB2312" w:cs="仿宋_GB2312"/>
          <w:color w:val="000000"/>
          <w:sz w:val="32"/>
          <w:szCs w:val="32"/>
        </w:rPr>
        <w:t>）问题（</w:t>
      </w:r>
      <w:r>
        <w:rPr>
          <w:rFonts w:eastAsia="仿宋_GB2312" w:cs="仿宋_GB2312"/>
          <w:color w:val="000000"/>
          <w:sz w:val="32"/>
          <w:szCs w:val="32"/>
        </w:rPr>
        <w:t>15</w:t>
      </w:r>
      <w:r>
        <w:rPr>
          <w:rFonts w:hint="eastAsia" w:eastAsia="仿宋_GB2312" w:cs="仿宋_GB2312"/>
          <w:color w:val="000000"/>
          <w:sz w:val="32"/>
          <w:szCs w:val="32"/>
        </w:rPr>
        <w:t>分）</w:t>
      </w:r>
    </w:p>
    <w:p w14:paraId="06AF6FBE">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）新型存储芯片的重要性：说明在使用新型存储芯片后为该产品带来了哪些性能提升（</w:t>
      </w:r>
      <w:r>
        <w:rPr>
          <w:rFonts w:eastAsia="仿宋_GB2312" w:cs="仿宋_GB2312"/>
          <w:color w:val="000000"/>
          <w:sz w:val="32"/>
          <w:szCs w:val="32"/>
        </w:rPr>
        <w:t>10</w:t>
      </w:r>
      <w:r>
        <w:rPr>
          <w:rFonts w:hint="eastAsia" w:eastAsia="仿宋_GB2312" w:cs="仿宋_GB2312"/>
          <w:color w:val="000000"/>
          <w:sz w:val="32"/>
          <w:szCs w:val="32"/>
        </w:rPr>
        <w:t>分）</w:t>
      </w:r>
    </w:p>
    <w:p w14:paraId="135E8B91">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）该产品所应用的其他技术：写明该产品所用的核心技术（除存储芯片以外）的先进性及可复用性，可复用性指此核心技术是否可以应用在其他产品中（</w:t>
      </w:r>
      <w:r>
        <w:rPr>
          <w:rFonts w:eastAsia="仿宋_GB2312" w:cs="仿宋_GB2312"/>
          <w:color w:val="000000"/>
          <w:sz w:val="32"/>
          <w:szCs w:val="32"/>
        </w:rPr>
        <w:t>15</w:t>
      </w:r>
      <w:r>
        <w:rPr>
          <w:rFonts w:hint="eastAsia" w:eastAsia="仿宋_GB2312" w:cs="仿宋_GB2312"/>
          <w:color w:val="000000"/>
          <w:sz w:val="32"/>
          <w:szCs w:val="32"/>
        </w:rPr>
        <w:t>分）</w:t>
      </w:r>
    </w:p>
    <w:p w14:paraId="576CFAE2">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4.</w:t>
      </w:r>
      <w:r>
        <w:rPr>
          <w:rFonts w:hint="eastAsia" w:eastAsia="仿宋_GB2312" w:cs="仿宋_GB2312"/>
          <w:color w:val="000000"/>
          <w:sz w:val="32"/>
          <w:szCs w:val="32"/>
        </w:rPr>
        <w:t>样机附加分：根据样机的完整度综合打分（</w:t>
      </w:r>
      <w:r>
        <w:rPr>
          <w:rFonts w:eastAsia="仿宋_GB2312" w:cs="仿宋_GB2312"/>
          <w:color w:val="000000"/>
          <w:sz w:val="32"/>
          <w:szCs w:val="32"/>
        </w:rPr>
        <w:t>10</w:t>
      </w:r>
      <w:r>
        <w:rPr>
          <w:rFonts w:hint="eastAsia" w:eastAsia="仿宋_GB2312" w:cs="仿宋_GB2312"/>
          <w:color w:val="000000"/>
          <w:sz w:val="32"/>
          <w:szCs w:val="32"/>
        </w:rPr>
        <w:t>分）。</w:t>
      </w:r>
    </w:p>
    <w:p w14:paraId="6D5A2324">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3" w:name="_Hlk177807040"/>
      <w:bookmarkStart w:id="4" w:name="_Hlk177808268"/>
      <w:r>
        <w:rPr>
          <w:rFonts w:hint="eastAsia" w:eastAsia="黑体" w:cs="黑体"/>
          <w:color w:val="000000" w:themeColor="text1"/>
          <w:sz w:val="32"/>
          <w:szCs w:val="22"/>
          <w:lang w:val="en-US"/>
          <w14:textFill>
            <w14:solidFill>
              <w14:schemeClr w14:val="tx1"/>
            </w14:solidFill>
          </w14:textFill>
        </w:rPr>
        <w:t>七、作品提交及评审安排</w:t>
      </w:r>
    </w:p>
    <w:bookmarkEnd w:id="3"/>
    <w:bookmarkEnd w:id="4"/>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6"/>
          <w:rFonts w:eastAsia="仿宋_GB2312" w:cs="仿宋_GB2312"/>
          <w:sz w:val="32"/>
          <w:szCs w:val="32"/>
          <w:lang w:val="en-US"/>
        </w:rPr>
        <w:t>wutxskx@163.com。</w:t>
      </w:r>
      <w:r>
        <w:rPr>
          <w:rStyle w:val="16"/>
          <w:rFonts w:eastAsia="仿宋_GB2312" w:cs="仿宋_GB2312"/>
          <w:sz w:val="32"/>
          <w:szCs w:val="32"/>
          <w:lang w:val="en-US"/>
        </w:rPr>
        <w:fldChar w:fldCharType="end"/>
      </w:r>
    </w:p>
    <w:p w14:paraId="3AD3918D">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w:t>
      </w:r>
      <w:bookmarkStart w:id="5" w:name="_GoBack"/>
      <w:bookmarkEnd w:id="5"/>
      <w:r>
        <w:rPr>
          <w:rFonts w:eastAsia="仿宋_GB2312" w:cs="仿宋_GB2312"/>
          <w:sz w:val="32"/>
          <w:szCs w:val="32"/>
          <w:lang w:val="en-US"/>
        </w:rPr>
        <w:t>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8517939"/>
    </w:sdtPr>
    <w:sdtContent>
      <w:p w14:paraId="23473B49">
        <w:pPr>
          <w:pStyle w:val="7"/>
          <w:jc w:val="center"/>
          <w:rPr>
            <w:rFonts w:hint="eastAsia"/>
          </w:rPr>
        </w:pPr>
        <w:r>
          <w:fldChar w:fldCharType="begin"/>
        </w:r>
        <w:r>
          <w:instrText xml:space="preserve">PAGE   \* MERGEFORMAT</w:instrText>
        </w:r>
        <w:r>
          <w:fldChar w:fldCharType="separate"/>
        </w:r>
        <w:r>
          <w:rPr>
            <w:lang w:val="zh-CN"/>
          </w:rPr>
          <w:t>10</w:t>
        </w:r>
        <w:r>
          <w:fldChar w:fldCharType="end"/>
        </w:r>
      </w:p>
    </w:sdtContent>
  </w:sdt>
  <w:p w14:paraId="7EBA1AEF">
    <w:pPr>
      <w:pStyle w:val="7"/>
      <w:rPr>
        <w:rFonts w:hint="eastAsia"/>
      </w:rPr>
    </w:pPr>
  </w:p>
  <w:p w14:paraId="217FDC1D"/>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1163"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0788F"/>
    <w:rsid w:val="00017E5B"/>
    <w:rsid w:val="00021C1D"/>
    <w:rsid w:val="00053633"/>
    <w:rsid w:val="00057714"/>
    <w:rsid w:val="000626B0"/>
    <w:rsid w:val="00064968"/>
    <w:rsid w:val="00075C5A"/>
    <w:rsid w:val="000A0450"/>
    <w:rsid w:val="000A6775"/>
    <w:rsid w:val="000D054D"/>
    <w:rsid w:val="000D57EF"/>
    <w:rsid w:val="000F1007"/>
    <w:rsid w:val="0010211D"/>
    <w:rsid w:val="00103171"/>
    <w:rsid w:val="0011069F"/>
    <w:rsid w:val="00111E5D"/>
    <w:rsid w:val="00120156"/>
    <w:rsid w:val="00121779"/>
    <w:rsid w:val="001367A9"/>
    <w:rsid w:val="00143054"/>
    <w:rsid w:val="001579F2"/>
    <w:rsid w:val="00164C26"/>
    <w:rsid w:val="0016564C"/>
    <w:rsid w:val="0019124B"/>
    <w:rsid w:val="001B0D74"/>
    <w:rsid w:val="001B2C6C"/>
    <w:rsid w:val="001C0DFA"/>
    <w:rsid w:val="001D0729"/>
    <w:rsid w:val="001E760D"/>
    <w:rsid w:val="001E77C2"/>
    <w:rsid w:val="001F6CC8"/>
    <w:rsid w:val="0020086A"/>
    <w:rsid w:val="00205E3B"/>
    <w:rsid w:val="00227FB3"/>
    <w:rsid w:val="00236E3E"/>
    <w:rsid w:val="002560B0"/>
    <w:rsid w:val="0027749E"/>
    <w:rsid w:val="00281AE9"/>
    <w:rsid w:val="00283877"/>
    <w:rsid w:val="002938E3"/>
    <w:rsid w:val="002B0D40"/>
    <w:rsid w:val="002B6DDC"/>
    <w:rsid w:val="002D4941"/>
    <w:rsid w:val="002E7BFD"/>
    <w:rsid w:val="002F24B8"/>
    <w:rsid w:val="002F7D9C"/>
    <w:rsid w:val="0033402D"/>
    <w:rsid w:val="00341051"/>
    <w:rsid w:val="00350DEE"/>
    <w:rsid w:val="00351403"/>
    <w:rsid w:val="00354FAF"/>
    <w:rsid w:val="00363E2D"/>
    <w:rsid w:val="00371816"/>
    <w:rsid w:val="00392185"/>
    <w:rsid w:val="0039481F"/>
    <w:rsid w:val="00396425"/>
    <w:rsid w:val="003B6C68"/>
    <w:rsid w:val="003B6CCC"/>
    <w:rsid w:val="003B786C"/>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C2DD3"/>
    <w:rsid w:val="004D0FC5"/>
    <w:rsid w:val="004F30AF"/>
    <w:rsid w:val="004F3DC9"/>
    <w:rsid w:val="00511FC7"/>
    <w:rsid w:val="00517736"/>
    <w:rsid w:val="00532B4E"/>
    <w:rsid w:val="005333BA"/>
    <w:rsid w:val="00537F15"/>
    <w:rsid w:val="00542BCA"/>
    <w:rsid w:val="00553DCC"/>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05B8"/>
    <w:rsid w:val="006226BA"/>
    <w:rsid w:val="00633F6B"/>
    <w:rsid w:val="00636F96"/>
    <w:rsid w:val="0066158C"/>
    <w:rsid w:val="00663468"/>
    <w:rsid w:val="0066573D"/>
    <w:rsid w:val="0068166A"/>
    <w:rsid w:val="006A3A6E"/>
    <w:rsid w:val="006A51DF"/>
    <w:rsid w:val="006C36D3"/>
    <w:rsid w:val="006C3959"/>
    <w:rsid w:val="006C732F"/>
    <w:rsid w:val="006E6DDA"/>
    <w:rsid w:val="007216F0"/>
    <w:rsid w:val="0073249A"/>
    <w:rsid w:val="00735B5C"/>
    <w:rsid w:val="00746651"/>
    <w:rsid w:val="00763EBF"/>
    <w:rsid w:val="00765C33"/>
    <w:rsid w:val="00773426"/>
    <w:rsid w:val="00777C79"/>
    <w:rsid w:val="007879EC"/>
    <w:rsid w:val="007F195A"/>
    <w:rsid w:val="00805D49"/>
    <w:rsid w:val="00816F55"/>
    <w:rsid w:val="00825FD8"/>
    <w:rsid w:val="008313DD"/>
    <w:rsid w:val="008321B0"/>
    <w:rsid w:val="00851D22"/>
    <w:rsid w:val="00860CCB"/>
    <w:rsid w:val="00860FD3"/>
    <w:rsid w:val="008669B5"/>
    <w:rsid w:val="00867EEA"/>
    <w:rsid w:val="00872C0C"/>
    <w:rsid w:val="008769EE"/>
    <w:rsid w:val="0088143A"/>
    <w:rsid w:val="008836AC"/>
    <w:rsid w:val="00887D7E"/>
    <w:rsid w:val="0089086B"/>
    <w:rsid w:val="008A60E9"/>
    <w:rsid w:val="008B43EC"/>
    <w:rsid w:val="008C4B94"/>
    <w:rsid w:val="008E3EE3"/>
    <w:rsid w:val="008F2FB1"/>
    <w:rsid w:val="00912ADC"/>
    <w:rsid w:val="00917F07"/>
    <w:rsid w:val="00923192"/>
    <w:rsid w:val="00931DCA"/>
    <w:rsid w:val="0093518D"/>
    <w:rsid w:val="00937CB6"/>
    <w:rsid w:val="00945809"/>
    <w:rsid w:val="00953BA4"/>
    <w:rsid w:val="00954857"/>
    <w:rsid w:val="0096193B"/>
    <w:rsid w:val="009632E8"/>
    <w:rsid w:val="00966187"/>
    <w:rsid w:val="009723C0"/>
    <w:rsid w:val="00987542"/>
    <w:rsid w:val="00995541"/>
    <w:rsid w:val="00996255"/>
    <w:rsid w:val="00996802"/>
    <w:rsid w:val="009A5F81"/>
    <w:rsid w:val="00A0235C"/>
    <w:rsid w:val="00A22759"/>
    <w:rsid w:val="00A30D68"/>
    <w:rsid w:val="00A31A98"/>
    <w:rsid w:val="00A35103"/>
    <w:rsid w:val="00A40EB8"/>
    <w:rsid w:val="00A4232F"/>
    <w:rsid w:val="00A43401"/>
    <w:rsid w:val="00A43480"/>
    <w:rsid w:val="00A460CE"/>
    <w:rsid w:val="00AA7BD8"/>
    <w:rsid w:val="00AB1BF4"/>
    <w:rsid w:val="00AD025A"/>
    <w:rsid w:val="00AD24CF"/>
    <w:rsid w:val="00AD6CFA"/>
    <w:rsid w:val="00AE66B7"/>
    <w:rsid w:val="00B0258C"/>
    <w:rsid w:val="00B32E7F"/>
    <w:rsid w:val="00B40CAF"/>
    <w:rsid w:val="00B52CCC"/>
    <w:rsid w:val="00B5667C"/>
    <w:rsid w:val="00B70A95"/>
    <w:rsid w:val="00B80EC7"/>
    <w:rsid w:val="00BA2855"/>
    <w:rsid w:val="00BA70BA"/>
    <w:rsid w:val="00BB771E"/>
    <w:rsid w:val="00BC1B59"/>
    <w:rsid w:val="00BD3CAF"/>
    <w:rsid w:val="00BE634B"/>
    <w:rsid w:val="00BF4E2D"/>
    <w:rsid w:val="00C217F1"/>
    <w:rsid w:val="00C24C93"/>
    <w:rsid w:val="00C4178D"/>
    <w:rsid w:val="00C60328"/>
    <w:rsid w:val="00C678B8"/>
    <w:rsid w:val="00C81301"/>
    <w:rsid w:val="00C82B11"/>
    <w:rsid w:val="00C90F03"/>
    <w:rsid w:val="00C97BA0"/>
    <w:rsid w:val="00CB5FAC"/>
    <w:rsid w:val="00CF2340"/>
    <w:rsid w:val="00D05DE3"/>
    <w:rsid w:val="00D474E2"/>
    <w:rsid w:val="00D531BB"/>
    <w:rsid w:val="00D55D40"/>
    <w:rsid w:val="00D64A7B"/>
    <w:rsid w:val="00D70A6A"/>
    <w:rsid w:val="00D71164"/>
    <w:rsid w:val="00D74472"/>
    <w:rsid w:val="00D755E0"/>
    <w:rsid w:val="00D8092B"/>
    <w:rsid w:val="00D826F5"/>
    <w:rsid w:val="00D905C1"/>
    <w:rsid w:val="00DA4A6A"/>
    <w:rsid w:val="00DB02D9"/>
    <w:rsid w:val="00DB511C"/>
    <w:rsid w:val="00DB59F1"/>
    <w:rsid w:val="00DE4764"/>
    <w:rsid w:val="00DE6299"/>
    <w:rsid w:val="00DF09AA"/>
    <w:rsid w:val="00DF64DF"/>
    <w:rsid w:val="00DF78E0"/>
    <w:rsid w:val="00E01DD4"/>
    <w:rsid w:val="00E02303"/>
    <w:rsid w:val="00E05639"/>
    <w:rsid w:val="00E067C4"/>
    <w:rsid w:val="00E13134"/>
    <w:rsid w:val="00E26DFD"/>
    <w:rsid w:val="00E30024"/>
    <w:rsid w:val="00E46C70"/>
    <w:rsid w:val="00E47733"/>
    <w:rsid w:val="00E5011B"/>
    <w:rsid w:val="00E524CD"/>
    <w:rsid w:val="00E53D0D"/>
    <w:rsid w:val="00E65FC6"/>
    <w:rsid w:val="00E72C07"/>
    <w:rsid w:val="00E909FD"/>
    <w:rsid w:val="00E94516"/>
    <w:rsid w:val="00EA0B44"/>
    <w:rsid w:val="00EA697C"/>
    <w:rsid w:val="00EB1E9B"/>
    <w:rsid w:val="00EB2BDB"/>
    <w:rsid w:val="00EB4B20"/>
    <w:rsid w:val="00EF3C50"/>
    <w:rsid w:val="00F1317D"/>
    <w:rsid w:val="00F256C4"/>
    <w:rsid w:val="00F26931"/>
    <w:rsid w:val="00F27147"/>
    <w:rsid w:val="00F27489"/>
    <w:rsid w:val="00F57CAE"/>
    <w:rsid w:val="00F70F5B"/>
    <w:rsid w:val="00F71AD9"/>
    <w:rsid w:val="00F74A1C"/>
    <w:rsid w:val="00F75202"/>
    <w:rsid w:val="00F910DA"/>
    <w:rsid w:val="00FA0324"/>
    <w:rsid w:val="00FA1D99"/>
    <w:rsid w:val="00FC74E1"/>
    <w:rsid w:val="00FF5C3F"/>
    <w:rsid w:val="011D4668"/>
    <w:rsid w:val="01AD4814"/>
    <w:rsid w:val="01D25B00"/>
    <w:rsid w:val="01D51F5B"/>
    <w:rsid w:val="02481270"/>
    <w:rsid w:val="029E34F5"/>
    <w:rsid w:val="02E75288"/>
    <w:rsid w:val="03294FF9"/>
    <w:rsid w:val="03803D68"/>
    <w:rsid w:val="03910A32"/>
    <w:rsid w:val="03FE7196"/>
    <w:rsid w:val="040E5D41"/>
    <w:rsid w:val="043549F2"/>
    <w:rsid w:val="04816A57"/>
    <w:rsid w:val="04853FBB"/>
    <w:rsid w:val="051528EC"/>
    <w:rsid w:val="05185E54"/>
    <w:rsid w:val="056C6AD1"/>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4414B7"/>
    <w:rsid w:val="189B4472"/>
    <w:rsid w:val="19044600"/>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55DA3"/>
    <w:rsid w:val="231F12DE"/>
    <w:rsid w:val="23531B69"/>
    <w:rsid w:val="23835AF5"/>
    <w:rsid w:val="23991047"/>
    <w:rsid w:val="23B107E7"/>
    <w:rsid w:val="23B940CE"/>
    <w:rsid w:val="242F1397"/>
    <w:rsid w:val="25324A72"/>
    <w:rsid w:val="2604714B"/>
    <w:rsid w:val="26680B0E"/>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2B02EC"/>
    <w:rsid w:val="333332D8"/>
    <w:rsid w:val="333C43C8"/>
    <w:rsid w:val="338737FF"/>
    <w:rsid w:val="347270AC"/>
    <w:rsid w:val="34A400A9"/>
    <w:rsid w:val="350D59DC"/>
    <w:rsid w:val="351116A8"/>
    <w:rsid w:val="359C73A0"/>
    <w:rsid w:val="35B711DC"/>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36817"/>
    <w:rsid w:val="3FC76EA6"/>
    <w:rsid w:val="40244897"/>
    <w:rsid w:val="40504E9C"/>
    <w:rsid w:val="4090448B"/>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6F49C2"/>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ED1F70"/>
    <w:rsid w:val="59F3439B"/>
    <w:rsid w:val="5A0D30B4"/>
    <w:rsid w:val="5A2A3F59"/>
    <w:rsid w:val="5A483FF8"/>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36227"/>
    <w:rsid w:val="5ED50225"/>
    <w:rsid w:val="5F1F0240"/>
    <w:rsid w:val="5F562BF3"/>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BF1317"/>
    <w:rsid w:val="69ED05F9"/>
    <w:rsid w:val="6AA11808"/>
    <w:rsid w:val="6B263ACF"/>
    <w:rsid w:val="6B73602A"/>
    <w:rsid w:val="6B8B6CF1"/>
    <w:rsid w:val="6BDF6CC4"/>
    <w:rsid w:val="6C1660AA"/>
    <w:rsid w:val="6C234574"/>
    <w:rsid w:val="6C4142CA"/>
    <w:rsid w:val="6E231488"/>
    <w:rsid w:val="6E7E2016"/>
    <w:rsid w:val="6F0452B4"/>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156F08"/>
    <w:rsid w:val="79220BB1"/>
    <w:rsid w:val="79936676"/>
    <w:rsid w:val="79A52F07"/>
    <w:rsid w:val="7A445D6F"/>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link w:val="29"/>
    <w:autoRedefine/>
    <w:unhideWhenUsed/>
    <w:qFormat/>
    <w:uiPriority w:val="9"/>
    <w:pPr>
      <w:keepNext/>
      <w:keepLines/>
      <w:spacing w:line="560" w:lineRule="exact"/>
      <w:ind w:left="640"/>
      <w:jc w:val="both"/>
      <w:outlineLvl w:val="1"/>
    </w:pPr>
    <w:rPr>
      <w:rFonts w:ascii="黑体" w:hAnsi="黑体" w:eastAsia="黑体"/>
      <w:sz w:val="32"/>
      <w:szCs w:val="22"/>
      <w:lang w:val="en-US"/>
    </w:rPr>
  </w:style>
  <w:style w:type="paragraph" w:styleId="4">
    <w:name w:val="heading 3"/>
    <w:basedOn w:val="1"/>
    <w:next w:val="1"/>
    <w:link w:val="23"/>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12">
    <w:name w:val="Default Paragraph Font"/>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6"/>
    <w:autoRedefine/>
    <w:semiHidden/>
    <w:unhideWhenUsed/>
    <w:qFormat/>
    <w:uiPriority w:val="99"/>
  </w:style>
  <w:style w:type="paragraph" w:styleId="6">
    <w:name w:val="Balloon Text"/>
    <w:basedOn w:val="1"/>
    <w:link w:val="28"/>
    <w:autoRedefine/>
    <w:semiHidden/>
    <w:unhideWhenUsed/>
    <w:qFormat/>
    <w:uiPriority w:val="99"/>
    <w:rPr>
      <w:sz w:val="18"/>
      <w:szCs w:val="18"/>
    </w:rPr>
  </w:style>
  <w:style w:type="paragraph" w:styleId="7">
    <w:name w:val="footer"/>
    <w:basedOn w:val="1"/>
    <w:link w:val="19"/>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8">
    <w:name w:val="header"/>
    <w:basedOn w:val="1"/>
    <w:link w:val="18"/>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9">
    <w:name w:val="Normal (Web)"/>
    <w:basedOn w:val="1"/>
    <w:autoRedefine/>
    <w:unhideWhenUsed/>
    <w:qFormat/>
    <w:uiPriority w:val="99"/>
    <w:pPr>
      <w:spacing w:before="100" w:beforeAutospacing="1" w:after="100" w:afterAutospacing="1"/>
    </w:pPr>
    <w:rPr>
      <w:rFonts w:ascii="宋体" w:hAnsi="宋体" w:eastAsia="宋体" w:cs="宋体"/>
    </w:rPr>
  </w:style>
  <w:style w:type="paragraph" w:styleId="10">
    <w:name w:val="annotation subject"/>
    <w:basedOn w:val="5"/>
    <w:next w:val="5"/>
    <w:link w:val="27"/>
    <w:autoRedefine/>
    <w:semiHidden/>
    <w:unhideWhenUsed/>
    <w:qFormat/>
    <w:uiPriority w:val="99"/>
    <w:rPr>
      <w:b/>
      <w:bCs/>
    </w:rPr>
  </w:style>
  <w:style w:type="character" w:styleId="13">
    <w:name w:val="Strong"/>
    <w:autoRedefine/>
    <w:qFormat/>
    <w:uiPriority w:val="22"/>
    <w:rPr>
      <w:b/>
      <w:bCs/>
    </w:rPr>
  </w:style>
  <w:style w:type="character" w:styleId="14">
    <w:name w:val="FollowedHyperlink"/>
    <w:basedOn w:val="12"/>
    <w:autoRedefine/>
    <w:semiHidden/>
    <w:unhideWhenUsed/>
    <w:qFormat/>
    <w:uiPriority w:val="99"/>
    <w:rPr>
      <w:color w:val="954F72" w:themeColor="followedHyperlink"/>
      <w:u w:val="single"/>
      <w14:textFill>
        <w14:solidFill>
          <w14:schemeClr w14:val="folHlink"/>
        </w14:solidFill>
      </w14:textFill>
    </w:rPr>
  </w:style>
  <w:style w:type="character" w:styleId="15">
    <w:name w:val="Emphasis"/>
    <w:basedOn w:val="12"/>
    <w:autoRedefine/>
    <w:qFormat/>
    <w:uiPriority w:val="20"/>
    <w:rPr>
      <w:i/>
      <w:iCs/>
    </w:rPr>
  </w:style>
  <w:style w:type="character" w:styleId="16">
    <w:name w:val="Hyperlink"/>
    <w:basedOn w:val="12"/>
    <w:autoRedefine/>
    <w:unhideWhenUsed/>
    <w:qFormat/>
    <w:uiPriority w:val="99"/>
    <w:rPr>
      <w:color w:val="0563C1" w:themeColor="hyperlink"/>
      <w:u w:val="single"/>
      <w14:textFill>
        <w14:solidFill>
          <w14:schemeClr w14:val="hlink"/>
        </w14:solidFill>
      </w14:textFill>
    </w:rPr>
  </w:style>
  <w:style w:type="character" w:styleId="17">
    <w:name w:val="annotation reference"/>
    <w:basedOn w:val="12"/>
    <w:autoRedefine/>
    <w:semiHidden/>
    <w:unhideWhenUsed/>
    <w:qFormat/>
    <w:uiPriority w:val="99"/>
    <w:rPr>
      <w:sz w:val="21"/>
      <w:szCs w:val="21"/>
    </w:rPr>
  </w:style>
  <w:style w:type="character" w:customStyle="1" w:styleId="18">
    <w:name w:val="页眉 字符"/>
    <w:basedOn w:val="12"/>
    <w:link w:val="8"/>
    <w:autoRedefine/>
    <w:qFormat/>
    <w:uiPriority w:val="99"/>
    <w:rPr>
      <w:sz w:val="18"/>
      <w:szCs w:val="18"/>
    </w:rPr>
  </w:style>
  <w:style w:type="character" w:customStyle="1" w:styleId="19">
    <w:name w:val="页脚 字符"/>
    <w:basedOn w:val="12"/>
    <w:link w:val="7"/>
    <w:autoRedefine/>
    <w:qFormat/>
    <w:uiPriority w:val="99"/>
    <w:rPr>
      <w:sz w:val="18"/>
      <w:szCs w:val="18"/>
    </w:rPr>
  </w:style>
  <w:style w:type="character" w:customStyle="1" w:styleId="20">
    <w:name w:val="未处理的提及1"/>
    <w:basedOn w:val="12"/>
    <w:autoRedefine/>
    <w:semiHidden/>
    <w:unhideWhenUsed/>
    <w:qFormat/>
    <w:uiPriority w:val="99"/>
    <w:rPr>
      <w:color w:val="605E5C"/>
      <w:shd w:val="clear" w:color="auto" w:fill="E1DFDD"/>
    </w:rPr>
  </w:style>
  <w:style w:type="paragraph" w:styleId="21">
    <w:name w:val="List Paragraph"/>
    <w:basedOn w:val="1"/>
    <w:autoRedefine/>
    <w:qFormat/>
    <w:uiPriority w:val="34"/>
    <w:pPr>
      <w:ind w:firstLine="420" w:firstLineChars="200"/>
    </w:pPr>
  </w:style>
  <w:style w:type="character" w:customStyle="1" w:styleId="22">
    <w:name w:val="未处理的提及2"/>
    <w:basedOn w:val="12"/>
    <w:autoRedefine/>
    <w:semiHidden/>
    <w:unhideWhenUsed/>
    <w:qFormat/>
    <w:uiPriority w:val="99"/>
    <w:rPr>
      <w:color w:val="605E5C"/>
      <w:shd w:val="clear" w:color="auto" w:fill="E1DFDD"/>
    </w:rPr>
  </w:style>
  <w:style w:type="character" w:customStyle="1" w:styleId="23">
    <w:name w:val="标题 3 字符"/>
    <w:link w:val="4"/>
    <w:autoRedefine/>
    <w:qFormat/>
    <w:uiPriority w:val="0"/>
    <w:rPr>
      <w:rFonts w:ascii="方正楷体简体" w:hAnsi="方正楷体简体" w:eastAsia="方正楷体简体"/>
      <w:sz w:val="32"/>
    </w:rPr>
  </w:style>
  <w:style w:type="table" w:customStyle="1" w:styleId="24">
    <w:name w:val="Table Normal"/>
    <w:autoRedefine/>
    <w:semiHidden/>
    <w:unhideWhenUsed/>
    <w:qFormat/>
    <w:uiPriority w:val="0"/>
    <w:tblPr>
      <w:tblCellMar>
        <w:top w:w="0" w:type="dxa"/>
        <w:left w:w="0" w:type="dxa"/>
        <w:bottom w:w="0" w:type="dxa"/>
        <w:right w:w="0" w:type="dxa"/>
      </w:tblCellMar>
    </w:tblPr>
  </w:style>
  <w:style w:type="character" w:customStyle="1" w:styleId="25">
    <w:name w:val="未处理的提及3"/>
    <w:basedOn w:val="12"/>
    <w:autoRedefine/>
    <w:semiHidden/>
    <w:unhideWhenUsed/>
    <w:qFormat/>
    <w:uiPriority w:val="99"/>
    <w:rPr>
      <w:color w:val="605E5C"/>
      <w:shd w:val="clear" w:color="auto" w:fill="E1DFDD"/>
    </w:rPr>
  </w:style>
  <w:style w:type="character" w:customStyle="1" w:styleId="26">
    <w:name w:val="批注文字 字符"/>
    <w:basedOn w:val="12"/>
    <w:link w:val="5"/>
    <w:autoRedefine/>
    <w:semiHidden/>
    <w:qFormat/>
    <w:uiPriority w:val="99"/>
    <w:rPr>
      <w:rFonts w:eastAsia="Times New Roman"/>
      <w:sz w:val="24"/>
      <w:szCs w:val="24"/>
      <w:lang w:val="en-GB"/>
    </w:rPr>
  </w:style>
  <w:style w:type="character" w:customStyle="1" w:styleId="27">
    <w:name w:val="批注主题 字符"/>
    <w:basedOn w:val="26"/>
    <w:link w:val="10"/>
    <w:autoRedefine/>
    <w:semiHidden/>
    <w:qFormat/>
    <w:uiPriority w:val="99"/>
    <w:rPr>
      <w:rFonts w:eastAsia="Times New Roman"/>
      <w:b/>
      <w:bCs/>
      <w:sz w:val="24"/>
      <w:szCs w:val="24"/>
      <w:lang w:val="en-GB"/>
    </w:rPr>
  </w:style>
  <w:style w:type="character" w:customStyle="1" w:styleId="28">
    <w:name w:val="批注框文本 字符"/>
    <w:basedOn w:val="12"/>
    <w:link w:val="6"/>
    <w:autoRedefine/>
    <w:semiHidden/>
    <w:qFormat/>
    <w:uiPriority w:val="99"/>
    <w:rPr>
      <w:rFonts w:eastAsia="Times New Roman"/>
      <w:sz w:val="18"/>
      <w:szCs w:val="18"/>
      <w:lang w:val="en-GB"/>
    </w:rPr>
  </w:style>
  <w:style w:type="character" w:customStyle="1" w:styleId="29">
    <w:name w:val="标题 2 字符"/>
    <w:basedOn w:val="12"/>
    <w:link w:val="3"/>
    <w:autoRedefine/>
    <w:qFormat/>
    <w:uiPriority w:val="9"/>
    <w:rPr>
      <w:rFonts w:ascii="黑体" w:hAnsi="黑体" w:eastAsia="黑体"/>
      <w:sz w:val="32"/>
      <w:szCs w:val="22"/>
    </w:rPr>
  </w:style>
  <w:style w:type="character" w:customStyle="1" w:styleId="30">
    <w:name w:val="Unresolved Mention"/>
    <w:basedOn w:val="12"/>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2694</Words>
  <Characters>2850</Characters>
  <Lines>20</Lines>
  <Paragraphs>5</Paragraphs>
  <TotalTime>0</TotalTime>
  <ScaleCrop>false</ScaleCrop>
  <LinksUpToDate>false</LinksUpToDate>
  <CharactersWithSpaces>2850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2024-09-21T03:45:00Z</dcterms:created>
  <dc:creator>张 斌</dc:creator>
  <cp:lastModifiedBy>金阳</cp:lastModifiedBy>
  <cp:lastPrinted>2024-03-30T12:06:00Z</cp:lastPrinted>
  <dcterms:modified xsi:type="dcterms:W3CDTF">2024-09-25T09:03:10Z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