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1D0AAC">
      <w:pPr>
        <w:pStyle w:val="2"/>
        <w:spacing w:beforeAutospacing="0" w:afterAutospacing="0" w:line="560" w:lineRule="exact"/>
        <w:rPr>
          <w:rFonts w:hint="default" w:ascii="Times New Roman" w:hAnsi="Times New Roman" w:eastAsia="仿宋_GB2312" w:cs="仿宋_GB2312"/>
          <w:b w:val="0"/>
          <w:bCs w:val="0"/>
          <w:color w:val="000000" w:themeColor="text1"/>
          <w:sz w:val="32"/>
          <w:szCs w:val="32"/>
          <w14:textFill>
            <w14:solidFill>
              <w14:schemeClr w14:val="tx1"/>
            </w14:solidFill>
          </w14:textFill>
        </w:rPr>
      </w:pPr>
      <w:r>
        <w:rPr>
          <w:rFonts w:hint="default" w:ascii="Times New Roman" w:hAnsi="Times New Roman" w:eastAsia="仿宋_GB2312" w:cs="仿宋_GB2312"/>
          <w:b w:val="0"/>
          <w:bCs w:val="0"/>
          <w:color w:val="000000" w:themeColor="text1"/>
          <w:sz w:val="32"/>
          <w:szCs w:val="32"/>
          <w14:textFill>
            <w14:solidFill>
              <w14:schemeClr w14:val="tx1"/>
            </w14:solidFill>
          </w14:textFill>
        </w:rPr>
        <w:t>题目</w:t>
      </w:r>
      <w:r>
        <w:rPr>
          <w:rFonts w:ascii="Times New Roman" w:hAnsi="Times New Roman" w:eastAsia="仿宋_GB2312" w:cs="仿宋_GB2312"/>
          <w:b w:val="0"/>
          <w:bCs w:val="0"/>
          <w:color w:val="000000" w:themeColor="text1"/>
          <w:sz w:val="32"/>
          <w:szCs w:val="32"/>
          <w14:textFill>
            <w14:solidFill>
              <w14:schemeClr w14:val="tx1"/>
            </w14:solidFill>
          </w14:textFill>
        </w:rPr>
        <w:t>2：</w:t>
      </w:r>
    </w:p>
    <w:p w14:paraId="2A2F3FED">
      <w:pPr>
        <w:pStyle w:val="2"/>
        <w:spacing w:beforeAutospacing="0" w:afterAutospacing="0"/>
        <w:jc w:val="cente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pPr>
      <w:r>
        <w:rPr>
          <w:rFonts w:ascii="Times New Roman" w:hAnsi="Times New Roman" w:eastAsia="方正小标宋简体" w:cs="方正小标宋简体"/>
          <w:b w:val="0"/>
          <w:bCs w:val="0"/>
          <w:color w:val="000000" w:themeColor="text1"/>
          <w:sz w:val="44"/>
          <w:szCs w:val="44"/>
          <w14:textFill>
            <w14:solidFill>
              <w14:schemeClr w14:val="tx1"/>
            </w14:solidFill>
          </w14:textFill>
        </w:rPr>
        <w:t>“无人机用螺旋桨气动性能与噪声综合优化设计与验证”</w:t>
      </w:r>
      <w: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t>比赛方案</w:t>
      </w:r>
    </w:p>
    <w:p w14:paraId="71B43FF6">
      <w:pPr>
        <w:jc w:val="center"/>
        <w:rPr>
          <w:rFonts w:eastAsia="楷体_GB2312" w:cs="楷体_GB2312"/>
          <w:color w:val="000000" w:themeColor="text1"/>
          <w:sz w:val="32"/>
          <w:szCs w:val="32"/>
          <w:lang w:val="en-US"/>
          <w14:textFill>
            <w14:solidFill>
              <w14:schemeClr w14:val="tx1"/>
            </w14:solidFill>
          </w14:textFill>
        </w:rPr>
      </w:pPr>
      <w:r>
        <w:rPr>
          <w:rFonts w:hint="eastAsia" w:eastAsia="楷体_GB2312" w:cs="楷体_GB2312"/>
          <w:color w:val="000000" w:themeColor="text1"/>
          <w:sz w:val="32"/>
          <w:szCs w:val="32"/>
          <w:lang w:val="en-US"/>
          <w14:textFill>
            <w14:solidFill>
              <w14:schemeClr w14:val="tx1"/>
            </w14:solidFill>
          </w14:textFill>
        </w:rPr>
        <w:t>【中航（成都）无人机系统股份有限公司（四川省无人机产业创新中心）】</w:t>
      </w:r>
    </w:p>
    <w:p w14:paraId="7974D3CA">
      <w:pPr>
        <w:pStyle w:val="3"/>
        <w:spacing w:line="240" w:lineRule="auto"/>
        <w:jc w:val="both"/>
        <w:rPr>
          <w:rFonts w:hint="eastAsia" w:ascii="Times New Roman" w:hAnsi="Times New Roman" w:eastAsia="黑体" w:cs="黑体"/>
          <w:color w:val="000000" w:themeColor="text1"/>
          <w:lang w:val="en-US"/>
          <w14:textFill>
            <w14:solidFill>
              <w14:schemeClr w14:val="tx1"/>
            </w14:solidFill>
          </w14:textFill>
        </w:rPr>
      </w:pPr>
    </w:p>
    <w:p w14:paraId="2B06AA8B">
      <w:pPr>
        <w:pStyle w:val="3"/>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一、出题</w:t>
      </w:r>
      <w:r>
        <w:rPr>
          <w:rFonts w:ascii="Times New Roman" w:hAnsi="Times New Roman" w:eastAsia="黑体" w:cs="黑体"/>
          <w:color w:val="000000" w:themeColor="text1"/>
          <w:lang w:val="en-US"/>
          <w14:textFill>
            <w14:solidFill>
              <w14:schemeClr w14:val="tx1"/>
            </w14:solidFill>
          </w14:textFill>
        </w:rPr>
        <w:t>单位</w:t>
      </w:r>
    </w:p>
    <w:p w14:paraId="39C958CF">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中航（成都）无人机系统股份有限公司（四川省无人机产业创新中心）</w:t>
      </w:r>
    </w:p>
    <w:p w14:paraId="7C60CD85">
      <w:pPr>
        <w:pStyle w:val="3"/>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二、</w:t>
      </w:r>
      <w:r>
        <w:rPr>
          <w:rFonts w:ascii="Times New Roman" w:hAnsi="Times New Roman" w:eastAsia="黑体" w:cs="黑体"/>
          <w:color w:val="000000" w:themeColor="text1"/>
          <w:lang w:val="en-US"/>
          <w14:textFill>
            <w14:solidFill>
              <w14:schemeClr w14:val="tx1"/>
            </w14:solidFill>
          </w14:textFill>
        </w:rPr>
        <w:t>题目名称</w:t>
      </w:r>
    </w:p>
    <w:p w14:paraId="28B95CBB">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无人机用螺旋桨气动性能与噪声综合优化设计与验证</w:t>
      </w:r>
    </w:p>
    <w:p w14:paraId="6A273DAF">
      <w:pPr>
        <w:pStyle w:val="3"/>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三、</w:t>
      </w:r>
      <w:r>
        <w:rPr>
          <w:rFonts w:ascii="Times New Roman" w:hAnsi="Times New Roman" w:eastAsia="黑体" w:cs="黑体"/>
          <w:color w:val="000000" w:themeColor="text1"/>
          <w:lang w:val="en-US"/>
          <w14:textFill>
            <w14:solidFill>
              <w14:schemeClr w14:val="tx1"/>
            </w14:solidFill>
          </w14:textFill>
        </w:rPr>
        <w:t>题目</w:t>
      </w:r>
      <w:r>
        <w:rPr>
          <w:rFonts w:hint="eastAsia" w:ascii="Times New Roman" w:hAnsi="Times New Roman" w:eastAsia="黑体" w:cs="黑体"/>
          <w:color w:val="000000" w:themeColor="text1"/>
          <w:lang w:val="en-US"/>
          <w14:textFill>
            <w14:solidFill>
              <w14:schemeClr w14:val="tx1"/>
            </w14:solidFill>
          </w14:textFill>
        </w:rPr>
        <w:t>介绍</w:t>
      </w:r>
    </w:p>
    <w:p w14:paraId="7E7654E9">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近年来，无人机行业飞速发展，螺旋桨动力是无人机的主要动力来源之一。螺旋桨是把发动机输出功率转化为飞机飞行所需推力，也是飞行的主要噪声来源。在军用领域过大的噪声不利于无人机的隐蔽；在民用领域无人机常达不到在城市上空低空飞行的噪声标准而存在扰民问题被限制使用。螺旋桨的推进效率及噪声问题是影响这类无人机应用场景的关键因素。</w:t>
      </w:r>
    </w:p>
    <w:p w14:paraId="1CA475E5">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通过改善螺旋桨设计可有效地降低螺旋桨气动噪声，需要对噪声产生机理、螺旋桨模型设计和气动噪声数值计算展开研究，通过采集相关物理量，分析螺旋桨气动噪声，通过桨叶数、桨叶几何参数和桨叶外形等综合优化设计，在保证螺旋桨气动性能的同时，达到降噪目的。需研究主要内容为：</w:t>
      </w:r>
    </w:p>
    <w:p w14:paraId="6C4B806B">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（1）</w:t>
      </w:r>
      <w:r>
        <w:rPr>
          <w:rFonts w:eastAsia="仿宋_GB2312" w:cs="仿宋_GB2312"/>
          <w:color w:val="000000" w:themeColor="text1"/>
          <w:sz w:val="32"/>
          <w:szCs w:val="32"/>
          <w:lang w:val="en-US"/>
          <w14:textFill>
            <w14:solidFill>
              <w14:schemeClr w14:val="tx1"/>
            </w14:solidFill>
          </w14:textFill>
        </w:rPr>
        <w:t>分析螺旋桨噪声分类、产生的原因，噪声的传递和衰减过程，并利用FW-H方程对气动噪声进行求解；</w:t>
      </w:r>
    </w:p>
    <w:p w14:paraId="278A8BD9">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（2）</w:t>
      </w:r>
      <w:r>
        <w:rPr>
          <w:rFonts w:eastAsia="仿宋_GB2312" w:cs="仿宋_GB2312"/>
          <w:color w:val="000000" w:themeColor="text1"/>
          <w:sz w:val="32"/>
          <w:szCs w:val="32"/>
          <w:lang w:val="en-US"/>
          <w14:textFill>
            <w14:solidFill>
              <w14:schemeClr w14:val="tx1"/>
            </w14:solidFill>
          </w14:textFill>
        </w:rPr>
        <w:t>研究降低螺旋桨噪声的措施及效果；</w:t>
      </w:r>
    </w:p>
    <w:p w14:paraId="0923CACB">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（3）</w:t>
      </w:r>
      <w:r>
        <w:rPr>
          <w:rFonts w:eastAsia="仿宋_GB2312" w:cs="仿宋_GB2312"/>
          <w:color w:val="000000" w:themeColor="text1"/>
          <w:sz w:val="32"/>
          <w:szCs w:val="32"/>
          <w:lang w:val="en-US"/>
          <w14:textFill>
            <w14:solidFill>
              <w14:schemeClr w14:val="tx1"/>
            </w14:solidFill>
          </w14:textFill>
        </w:rPr>
        <w:t>以起飞推力最大、巡航效率最优、运行噪声最小为</w:t>
      </w:r>
      <w:r>
        <w:rPr>
          <w:rFonts w:hint="eastAsia" w:eastAsia="仿宋_GB2312" w:cs="仿宋_GB2312"/>
          <w:color w:val="000000" w:themeColor="text1"/>
          <w:sz w:val="32"/>
          <w:szCs w:val="32"/>
          <w:lang w:val="en-US"/>
          <w14:textFill>
            <w14:solidFill>
              <w14:schemeClr w14:val="tx1"/>
            </w14:solidFill>
          </w14:textFill>
        </w:rPr>
        <w:t>目的，开展螺旋桨的综合设计；</w:t>
      </w:r>
    </w:p>
    <w:p w14:paraId="3D2781BF">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（4）开展螺旋桨降噪措施及效果的试验测试与对比分析。</w:t>
      </w:r>
    </w:p>
    <w:p w14:paraId="2FA9587A">
      <w:pPr>
        <w:pStyle w:val="3"/>
        <w:keepNext w:val="0"/>
        <w:keepLines w:val="0"/>
        <w:widowControl w:val="0"/>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四、</w:t>
      </w:r>
      <w:r>
        <w:rPr>
          <w:rFonts w:ascii="Times New Roman" w:hAnsi="Times New Roman" w:eastAsia="黑体" w:cs="黑体"/>
          <w:color w:val="000000" w:themeColor="text1"/>
          <w:lang w:val="en-US"/>
          <w14:textFill>
            <w14:solidFill>
              <w14:schemeClr w14:val="tx1"/>
            </w14:solidFill>
          </w14:textFill>
        </w:rPr>
        <w:t>参赛对象</w:t>
      </w:r>
    </w:p>
    <w:p w14:paraId="3D148E4A">
      <w:pPr>
        <w:spacing w:line="560" w:lineRule="exact"/>
        <w:ind w:firstLine="640" w:firstLineChars="200"/>
        <w:jc w:val="both"/>
        <w:rPr>
          <w:rFonts w:hint="eastAsia" w:ascii="仿宋_GB2312" w:eastAsia="仿宋_GB2312"/>
          <w:sz w:val="32"/>
          <w:szCs w:val="32"/>
          <w:lang w:val="en-US"/>
        </w:rPr>
      </w:pPr>
      <w:r>
        <w:rPr>
          <w:rFonts w:hint="eastAsia" w:ascii="仿宋_GB2312" w:eastAsia="仿宋_GB2312"/>
          <w:sz w:val="32"/>
          <w:szCs w:val="32"/>
          <w:lang w:val="en-US"/>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58A38F1D">
      <w:pPr>
        <w:spacing w:line="560" w:lineRule="exact"/>
        <w:ind w:firstLine="640" w:firstLineChars="200"/>
        <w:jc w:val="both"/>
        <w:rPr>
          <w:rFonts w:hint="eastAsia" w:ascii="仿宋_GB2312" w:eastAsia="仿宋_GB2312"/>
          <w:sz w:val="32"/>
          <w:szCs w:val="32"/>
          <w:lang w:val="en-US"/>
        </w:rPr>
      </w:pPr>
      <w:r>
        <w:rPr>
          <w:rFonts w:hint="eastAsia" w:ascii="仿宋_GB2312" w:eastAsia="仿宋_GB2312"/>
          <w:sz w:val="32"/>
          <w:szCs w:val="32"/>
          <w:lang w:val="en-US"/>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15B62A66">
      <w:pPr>
        <w:spacing w:line="560" w:lineRule="exact"/>
        <w:ind w:firstLine="640" w:firstLineChars="200"/>
        <w:jc w:val="both"/>
        <w:rPr>
          <w:rFonts w:hint="eastAsia" w:ascii="仿宋_GB2312" w:eastAsia="仿宋_GB2312"/>
          <w:sz w:val="32"/>
          <w:szCs w:val="32"/>
          <w:lang w:val="en-US"/>
        </w:rPr>
      </w:pPr>
      <w:r>
        <w:rPr>
          <w:rFonts w:hint="eastAsia" w:ascii="仿宋_GB2312" w:eastAsia="仿宋_GB2312"/>
          <w:sz w:val="32"/>
          <w:szCs w:val="32"/>
          <w:lang w:val="en-US"/>
        </w:rPr>
        <w:t>毕业设计和课程设计（论文）、学年论文和学位论文、国际竞赛中获奖的作品、获国家级奖励成果（含本竞赛主办单位参与举办的其他全国性竞赛的获奖作品）等均不在申报范围之列。</w:t>
      </w:r>
    </w:p>
    <w:p w14:paraId="08853CE3">
      <w:pPr>
        <w:spacing w:line="560" w:lineRule="exact"/>
        <w:ind w:firstLine="640" w:firstLineChars="200"/>
        <w:jc w:val="both"/>
        <w:rPr>
          <w:rFonts w:hint="eastAsia" w:ascii="仿宋_GB2312" w:eastAsia="仿宋_GB2312"/>
          <w:sz w:val="32"/>
          <w:szCs w:val="32"/>
          <w:lang w:val="en-US"/>
        </w:rPr>
      </w:pPr>
      <w:r>
        <w:rPr>
          <w:rFonts w:hint="eastAsia" w:ascii="仿宋_GB2312" w:eastAsia="仿宋_GB2312"/>
          <w:sz w:val="32"/>
          <w:szCs w:val="32"/>
          <w:lang w:val="en-US"/>
        </w:rPr>
        <w:t>每件作品仅可由1个学院推报，学院在推报前要对参赛团队成员及作品进行相关资格审查。</w:t>
      </w:r>
    </w:p>
    <w:p w14:paraId="792F4A4F">
      <w:pPr>
        <w:spacing w:line="560" w:lineRule="exact"/>
        <w:ind w:firstLine="640" w:firstLineChars="200"/>
        <w:jc w:val="both"/>
        <w:rPr>
          <w:rFonts w:hint="eastAsia" w:ascii="仿宋_GB2312" w:eastAsia="仿宋_GB2312"/>
          <w:sz w:val="32"/>
          <w:szCs w:val="32"/>
          <w:lang w:val="en-US"/>
        </w:rPr>
      </w:pPr>
      <w:r>
        <w:rPr>
          <w:rFonts w:hint="eastAsia" w:ascii="仿宋_GB2312" w:eastAsia="仿宋_GB2312"/>
          <w:sz w:val="32"/>
          <w:szCs w:val="32"/>
          <w:lang w:val="en-US"/>
        </w:rPr>
        <w:t>每个学院选送参加专项赛的作品数量不设限制，同一作品不得同时参加第二十四届“创新杯”大学生课外学术科技作品竞赛和第二十四届“创新杯”大学生创业计划竞赛。已参加第十九届“挑战杯”全国大学生课外学术科技作品竞赛2024年度“揭榜挂帅”专项赛的作品可以继续参加第二十四届“创新杯”揭榜挂帅专项赛。</w:t>
      </w:r>
    </w:p>
    <w:p w14:paraId="59FC188B">
      <w:pPr>
        <w:pStyle w:val="3"/>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五、答题</w:t>
      </w:r>
      <w:r>
        <w:rPr>
          <w:rFonts w:ascii="Times New Roman" w:hAnsi="Times New Roman" w:eastAsia="黑体" w:cs="黑体"/>
          <w:color w:val="000000" w:themeColor="text1"/>
          <w:lang w:val="en-US"/>
          <w14:textFill>
            <w14:solidFill>
              <w14:schemeClr w14:val="tx1"/>
            </w14:solidFill>
          </w14:textFill>
        </w:rPr>
        <w:t>要求</w:t>
      </w:r>
    </w:p>
    <w:p w14:paraId="374669DC">
      <w:pPr>
        <w:adjustRightInd w:val="0"/>
        <w:snapToGrid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本次赛事题目给定参数及设计要求如表1所示，请各参赛团队在此基础上开展螺旋桨气动性能与噪声综合优化设计。</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
        <w:gridCol w:w="1415"/>
        <w:gridCol w:w="1514"/>
        <w:gridCol w:w="1372"/>
        <w:gridCol w:w="1319"/>
        <w:gridCol w:w="1217"/>
        <w:gridCol w:w="1126"/>
      </w:tblGrid>
      <w:tr w14:paraId="32D7F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14:paraId="2357DCD6">
            <w:pPr>
              <w:spacing w:line="360" w:lineRule="exact"/>
              <w:jc w:val="center"/>
              <w:rPr>
                <w:rFonts w:eastAsia="仿宋_GB2312" w:cs="仿宋_GB2312"/>
                <w:color w:val="000000" w:themeColor="text1"/>
                <w:sz w:val="32"/>
                <w:szCs w:val="32"/>
                <w:lang w:val="en-US"/>
                <w14:textFill>
                  <w14:solidFill>
                    <w14:schemeClr w14:val="tx1"/>
                  </w14:solidFill>
                </w14:textFill>
              </w:rPr>
            </w:pPr>
          </w:p>
        </w:tc>
        <w:tc>
          <w:tcPr>
            <w:tcW w:w="1417" w:type="dxa"/>
            <w:shd w:val="clear" w:color="auto" w:fill="auto"/>
            <w:vAlign w:val="center"/>
          </w:tcPr>
          <w:p w14:paraId="7CBFD541">
            <w:pPr>
              <w:spacing w:line="360" w:lineRule="exact"/>
              <w:jc w:val="center"/>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高度</w:t>
            </w:r>
          </w:p>
          <w:p w14:paraId="666524CF">
            <w:pPr>
              <w:spacing w:line="360" w:lineRule="exact"/>
              <w:jc w:val="center"/>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（km）</w:t>
            </w:r>
          </w:p>
        </w:tc>
        <w:tc>
          <w:tcPr>
            <w:tcW w:w="1330" w:type="dxa"/>
            <w:shd w:val="clear" w:color="auto" w:fill="auto"/>
            <w:vAlign w:val="center"/>
          </w:tcPr>
          <w:p w14:paraId="5141FF53">
            <w:pPr>
              <w:spacing w:line="360" w:lineRule="exact"/>
              <w:jc w:val="center"/>
              <w:rPr>
                <w:rFonts w:eastAsia="仿宋_GB2312"/>
                <w:sz w:val="32"/>
                <w:szCs w:val="32"/>
              </w:rPr>
            </w:pPr>
            <w:r>
              <w:rPr>
                <w:rFonts w:eastAsia="仿宋_GB2312"/>
                <w:sz w:val="32"/>
                <w:szCs w:val="32"/>
              </w:rPr>
              <w:t>表速</w:t>
            </w:r>
          </w:p>
          <w:p w14:paraId="6BED0318">
            <w:pPr>
              <w:spacing w:line="360" w:lineRule="exact"/>
              <w:jc w:val="center"/>
              <w:rPr>
                <w:rFonts w:eastAsia="仿宋_GB2312"/>
                <w:sz w:val="32"/>
                <w:szCs w:val="32"/>
              </w:rPr>
            </w:pPr>
            <w:r>
              <w:rPr>
                <w:rFonts w:eastAsia="仿宋_GB2312"/>
                <w:sz w:val="32"/>
                <w:szCs w:val="32"/>
              </w:rPr>
              <w:t>（km/h）</w:t>
            </w:r>
          </w:p>
        </w:tc>
        <w:tc>
          <w:tcPr>
            <w:tcW w:w="1361" w:type="dxa"/>
            <w:shd w:val="clear" w:color="auto" w:fill="auto"/>
            <w:vAlign w:val="center"/>
          </w:tcPr>
          <w:p w14:paraId="7E9C97CA">
            <w:pPr>
              <w:spacing w:line="360" w:lineRule="exact"/>
              <w:jc w:val="center"/>
              <w:rPr>
                <w:rFonts w:eastAsia="仿宋_GB2312"/>
                <w:sz w:val="32"/>
                <w:szCs w:val="32"/>
              </w:rPr>
            </w:pPr>
            <w:r>
              <w:rPr>
                <w:rFonts w:eastAsia="仿宋_GB2312"/>
                <w:sz w:val="32"/>
                <w:szCs w:val="32"/>
              </w:rPr>
              <w:t>螺旋桨转速</w:t>
            </w:r>
          </w:p>
          <w:p w14:paraId="58782C1F">
            <w:pPr>
              <w:spacing w:line="360" w:lineRule="exact"/>
              <w:jc w:val="center"/>
              <w:rPr>
                <w:rFonts w:eastAsia="仿宋_GB2312"/>
                <w:sz w:val="32"/>
                <w:szCs w:val="32"/>
              </w:rPr>
            </w:pPr>
            <w:r>
              <w:rPr>
                <w:rFonts w:eastAsia="仿宋_GB2312"/>
                <w:sz w:val="32"/>
                <w:szCs w:val="32"/>
              </w:rPr>
              <w:t>（rpm）</w:t>
            </w:r>
          </w:p>
        </w:tc>
        <w:tc>
          <w:tcPr>
            <w:tcW w:w="1276" w:type="dxa"/>
            <w:shd w:val="clear" w:color="auto" w:fill="auto"/>
            <w:vAlign w:val="center"/>
          </w:tcPr>
          <w:p w14:paraId="15419853">
            <w:pPr>
              <w:spacing w:line="360" w:lineRule="exact"/>
              <w:jc w:val="center"/>
              <w:rPr>
                <w:rFonts w:eastAsia="仿宋_GB2312"/>
                <w:sz w:val="32"/>
                <w:szCs w:val="32"/>
              </w:rPr>
            </w:pPr>
            <w:r>
              <w:rPr>
                <w:rFonts w:eastAsia="仿宋_GB2312"/>
                <w:sz w:val="32"/>
                <w:szCs w:val="32"/>
              </w:rPr>
              <w:t>发动机功率</w:t>
            </w:r>
          </w:p>
          <w:p w14:paraId="107D73AF">
            <w:pPr>
              <w:spacing w:line="360" w:lineRule="exact"/>
              <w:jc w:val="center"/>
              <w:rPr>
                <w:rFonts w:eastAsia="仿宋_GB2312"/>
                <w:sz w:val="32"/>
                <w:szCs w:val="32"/>
              </w:rPr>
            </w:pPr>
            <w:r>
              <w:rPr>
                <w:rFonts w:eastAsia="仿宋_GB2312"/>
                <w:sz w:val="32"/>
                <w:szCs w:val="32"/>
              </w:rPr>
              <w:t>（kW）</w:t>
            </w:r>
          </w:p>
        </w:tc>
        <w:tc>
          <w:tcPr>
            <w:tcW w:w="1218" w:type="dxa"/>
            <w:shd w:val="clear" w:color="auto" w:fill="auto"/>
            <w:vAlign w:val="center"/>
          </w:tcPr>
          <w:p w14:paraId="37CBB7A6">
            <w:pPr>
              <w:spacing w:line="360" w:lineRule="exact"/>
              <w:jc w:val="center"/>
              <w:rPr>
                <w:rFonts w:eastAsia="仿宋_GB2312"/>
                <w:sz w:val="32"/>
                <w:szCs w:val="32"/>
              </w:rPr>
            </w:pPr>
            <w:r>
              <w:rPr>
                <w:rFonts w:eastAsia="仿宋_GB2312"/>
                <w:sz w:val="32"/>
                <w:szCs w:val="32"/>
              </w:rPr>
              <w:t>推力</w:t>
            </w:r>
          </w:p>
          <w:p w14:paraId="1D512230">
            <w:pPr>
              <w:spacing w:line="360" w:lineRule="exact"/>
              <w:jc w:val="center"/>
              <w:rPr>
                <w:rFonts w:eastAsia="仿宋_GB2312"/>
                <w:sz w:val="32"/>
                <w:szCs w:val="32"/>
              </w:rPr>
            </w:pPr>
            <w:r>
              <w:rPr>
                <w:rFonts w:eastAsia="仿宋_GB2312"/>
                <w:sz w:val="32"/>
                <w:szCs w:val="32"/>
              </w:rPr>
              <w:t>（N）</w:t>
            </w:r>
          </w:p>
        </w:tc>
        <w:tc>
          <w:tcPr>
            <w:tcW w:w="1130" w:type="dxa"/>
            <w:shd w:val="clear" w:color="auto" w:fill="auto"/>
            <w:vAlign w:val="center"/>
          </w:tcPr>
          <w:p w14:paraId="4C995ED5">
            <w:pPr>
              <w:spacing w:line="360" w:lineRule="exact"/>
              <w:jc w:val="center"/>
              <w:rPr>
                <w:rFonts w:eastAsia="仿宋_GB2312"/>
                <w:sz w:val="32"/>
                <w:szCs w:val="32"/>
              </w:rPr>
            </w:pPr>
            <w:r>
              <w:rPr>
                <w:rFonts w:eastAsia="仿宋_GB2312"/>
                <w:sz w:val="32"/>
                <w:szCs w:val="32"/>
              </w:rPr>
              <w:t>效率</w:t>
            </w:r>
          </w:p>
        </w:tc>
      </w:tr>
      <w:tr w14:paraId="29E3A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14:paraId="215BEA06">
            <w:pPr>
              <w:spacing w:line="360" w:lineRule="exact"/>
              <w:jc w:val="center"/>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状态点1</w:t>
            </w:r>
          </w:p>
        </w:tc>
        <w:tc>
          <w:tcPr>
            <w:tcW w:w="1417" w:type="dxa"/>
            <w:shd w:val="clear" w:color="auto" w:fill="auto"/>
            <w:vAlign w:val="center"/>
          </w:tcPr>
          <w:p w14:paraId="5E2DBC8C">
            <w:pPr>
              <w:spacing w:line="360" w:lineRule="exact"/>
              <w:jc w:val="center"/>
              <w:rPr>
                <w:rFonts w:eastAsia="仿宋_GB2312"/>
                <w:sz w:val="32"/>
                <w:szCs w:val="32"/>
              </w:rPr>
            </w:pPr>
            <w:r>
              <w:rPr>
                <w:rFonts w:eastAsia="仿宋_GB2312"/>
                <w:sz w:val="32"/>
                <w:szCs w:val="32"/>
              </w:rPr>
              <w:t>0</w:t>
            </w:r>
          </w:p>
        </w:tc>
        <w:tc>
          <w:tcPr>
            <w:tcW w:w="1330" w:type="dxa"/>
            <w:shd w:val="clear" w:color="auto" w:fill="auto"/>
            <w:vAlign w:val="center"/>
          </w:tcPr>
          <w:p w14:paraId="1BA734EE">
            <w:pPr>
              <w:spacing w:line="360" w:lineRule="exact"/>
              <w:jc w:val="center"/>
              <w:rPr>
                <w:rFonts w:eastAsia="仿宋_GB2312"/>
                <w:sz w:val="32"/>
                <w:szCs w:val="32"/>
              </w:rPr>
            </w:pPr>
            <w:r>
              <w:rPr>
                <w:rFonts w:eastAsia="仿宋_GB2312"/>
                <w:sz w:val="32"/>
                <w:szCs w:val="32"/>
              </w:rPr>
              <w:t>0</w:t>
            </w:r>
          </w:p>
        </w:tc>
        <w:tc>
          <w:tcPr>
            <w:tcW w:w="1361" w:type="dxa"/>
            <w:shd w:val="clear" w:color="auto" w:fill="auto"/>
            <w:vAlign w:val="center"/>
          </w:tcPr>
          <w:p w14:paraId="78A661C7">
            <w:pPr>
              <w:spacing w:line="360" w:lineRule="exact"/>
              <w:jc w:val="center"/>
              <w:rPr>
                <w:rFonts w:eastAsia="仿宋_GB2312"/>
                <w:sz w:val="32"/>
                <w:szCs w:val="32"/>
              </w:rPr>
            </w:pPr>
            <w:r>
              <w:rPr>
                <w:rFonts w:eastAsia="仿宋_GB2312"/>
                <w:sz w:val="32"/>
                <w:szCs w:val="32"/>
              </w:rPr>
              <w:t>2200</w:t>
            </w:r>
          </w:p>
        </w:tc>
        <w:tc>
          <w:tcPr>
            <w:tcW w:w="1276" w:type="dxa"/>
            <w:shd w:val="clear" w:color="auto" w:fill="auto"/>
            <w:vAlign w:val="center"/>
          </w:tcPr>
          <w:p w14:paraId="22020EE6">
            <w:pPr>
              <w:spacing w:line="360" w:lineRule="exact"/>
              <w:jc w:val="center"/>
              <w:rPr>
                <w:rFonts w:eastAsia="仿宋_GB2312"/>
                <w:sz w:val="32"/>
                <w:szCs w:val="32"/>
              </w:rPr>
            </w:pPr>
            <w:r>
              <w:rPr>
                <w:rFonts w:eastAsia="仿宋_GB2312"/>
                <w:sz w:val="32"/>
                <w:szCs w:val="32"/>
              </w:rPr>
              <w:t>500</w:t>
            </w:r>
          </w:p>
        </w:tc>
        <w:tc>
          <w:tcPr>
            <w:tcW w:w="1218" w:type="dxa"/>
            <w:shd w:val="clear" w:color="auto" w:fill="auto"/>
            <w:vAlign w:val="center"/>
          </w:tcPr>
          <w:p w14:paraId="44024DEB">
            <w:pPr>
              <w:spacing w:line="360" w:lineRule="exact"/>
              <w:jc w:val="center"/>
              <w:rPr>
                <w:rFonts w:eastAsia="仿宋_GB2312"/>
                <w:sz w:val="32"/>
                <w:szCs w:val="32"/>
              </w:rPr>
            </w:pPr>
            <w:r>
              <w:rPr>
                <w:rFonts w:hint="eastAsia" w:eastAsia="仿宋_GB2312" w:cs="宋体"/>
                <w:sz w:val="32"/>
                <w:szCs w:val="32"/>
              </w:rPr>
              <w:t>≮</w:t>
            </w:r>
            <w:r>
              <w:rPr>
                <w:rFonts w:eastAsia="仿宋_GB2312"/>
                <w:sz w:val="32"/>
                <w:szCs w:val="32"/>
              </w:rPr>
              <w:t>10000</w:t>
            </w:r>
          </w:p>
        </w:tc>
        <w:tc>
          <w:tcPr>
            <w:tcW w:w="1130" w:type="dxa"/>
            <w:shd w:val="clear" w:color="auto" w:fill="auto"/>
            <w:vAlign w:val="center"/>
          </w:tcPr>
          <w:p w14:paraId="27740B56">
            <w:pPr>
              <w:spacing w:line="360" w:lineRule="exact"/>
              <w:jc w:val="center"/>
              <w:rPr>
                <w:rFonts w:eastAsia="仿宋_GB2312"/>
                <w:sz w:val="32"/>
                <w:szCs w:val="32"/>
              </w:rPr>
            </w:pPr>
            <w:r>
              <w:rPr>
                <w:rFonts w:eastAsia="仿宋_GB2312"/>
                <w:sz w:val="32"/>
                <w:szCs w:val="32"/>
              </w:rPr>
              <w:t>/</w:t>
            </w:r>
          </w:p>
        </w:tc>
      </w:tr>
      <w:tr w14:paraId="108A5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14:paraId="1DE4A3A2">
            <w:pPr>
              <w:spacing w:line="360" w:lineRule="exact"/>
              <w:jc w:val="center"/>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状态点2</w:t>
            </w:r>
          </w:p>
        </w:tc>
        <w:tc>
          <w:tcPr>
            <w:tcW w:w="1417" w:type="dxa"/>
            <w:shd w:val="clear" w:color="auto" w:fill="auto"/>
            <w:vAlign w:val="center"/>
          </w:tcPr>
          <w:p w14:paraId="676651B2">
            <w:pPr>
              <w:spacing w:line="360" w:lineRule="exact"/>
              <w:jc w:val="center"/>
              <w:rPr>
                <w:rFonts w:eastAsia="仿宋_GB2312"/>
                <w:sz w:val="32"/>
                <w:szCs w:val="32"/>
              </w:rPr>
            </w:pPr>
            <w:r>
              <w:rPr>
                <w:rFonts w:eastAsia="仿宋_GB2312"/>
                <w:sz w:val="32"/>
                <w:szCs w:val="32"/>
              </w:rPr>
              <w:t>4.5</w:t>
            </w:r>
          </w:p>
        </w:tc>
        <w:tc>
          <w:tcPr>
            <w:tcW w:w="1330" w:type="dxa"/>
            <w:shd w:val="clear" w:color="auto" w:fill="auto"/>
            <w:vAlign w:val="center"/>
          </w:tcPr>
          <w:p w14:paraId="5B58FD51">
            <w:pPr>
              <w:spacing w:line="360" w:lineRule="exact"/>
              <w:jc w:val="center"/>
              <w:rPr>
                <w:rFonts w:eastAsia="仿宋_GB2312"/>
                <w:sz w:val="32"/>
                <w:szCs w:val="32"/>
              </w:rPr>
            </w:pPr>
            <w:r>
              <w:rPr>
                <w:rFonts w:eastAsia="仿宋_GB2312"/>
                <w:sz w:val="32"/>
                <w:szCs w:val="32"/>
              </w:rPr>
              <w:t>170</w:t>
            </w:r>
          </w:p>
        </w:tc>
        <w:tc>
          <w:tcPr>
            <w:tcW w:w="1361" w:type="dxa"/>
            <w:shd w:val="clear" w:color="auto" w:fill="auto"/>
            <w:vAlign w:val="center"/>
          </w:tcPr>
          <w:p w14:paraId="7FFAFC97">
            <w:pPr>
              <w:spacing w:line="360" w:lineRule="exact"/>
              <w:jc w:val="center"/>
              <w:rPr>
                <w:rFonts w:eastAsia="仿宋_GB2312"/>
                <w:sz w:val="32"/>
                <w:szCs w:val="32"/>
              </w:rPr>
            </w:pPr>
            <w:r>
              <w:rPr>
                <w:rFonts w:eastAsia="仿宋_GB2312"/>
                <w:sz w:val="32"/>
                <w:szCs w:val="32"/>
              </w:rPr>
              <w:t>2200</w:t>
            </w:r>
          </w:p>
        </w:tc>
        <w:tc>
          <w:tcPr>
            <w:tcW w:w="1276" w:type="dxa"/>
            <w:shd w:val="clear" w:color="auto" w:fill="auto"/>
            <w:vAlign w:val="center"/>
          </w:tcPr>
          <w:p w14:paraId="5AB929D6">
            <w:pPr>
              <w:spacing w:line="360" w:lineRule="exact"/>
              <w:jc w:val="center"/>
              <w:rPr>
                <w:rFonts w:eastAsia="仿宋_GB2312"/>
                <w:sz w:val="32"/>
                <w:szCs w:val="32"/>
              </w:rPr>
            </w:pPr>
            <w:r>
              <w:rPr>
                <w:rFonts w:eastAsia="仿宋_GB2312"/>
                <w:sz w:val="32"/>
                <w:szCs w:val="32"/>
              </w:rPr>
              <w:t>330</w:t>
            </w:r>
          </w:p>
        </w:tc>
        <w:tc>
          <w:tcPr>
            <w:tcW w:w="1218" w:type="dxa"/>
            <w:shd w:val="clear" w:color="auto" w:fill="auto"/>
            <w:vAlign w:val="center"/>
          </w:tcPr>
          <w:p w14:paraId="0C86CFAF">
            <w:pPr>
              <w:spacing w:line="360" w:lineRule="exact"/>
              <w:jc w:val="center"/>
              <w:rPr>
                <w:rFonts w:eastAsia="仿宋_GB2312"/>
                <w:sz w:val="32"/>
                <w:szCs w:val="32"/>
              </w:rPr>
            </w:pPr>
            <w:r>
              <w:rPr>
                <w:rFonts w:hint="eastAsia" w:eastAsia="仿宋_GB2312" w:cs="宋体"/>
                <w:sz w:val="32"/>
                <w:szCs w:val="32"/>
              </w:rPr>
              <w:t>≮</w:t>
            </w:r>
            <w:r>
              <w:rPr>
                <w:rFonts w:eastAsia="仿宋_GB2312"/>
                <w:sz w:val="32"/>
                <w:szCs w:val="32"/>
              </w:rPr>
              <w:t>4300</w:t>
            </w:r>
          </w:p>
        </w:tc>
        <w:tc>
          <w:tcPr>
            <w:tcW w:w="1130" w:type="dxa"/>
            <w:shd w:val="clear" w:color="auto" w:fill="auto"/>
            <w:vAlign w:val="center"/>
          </w:tcPr>
          <w:p w14:paraId="2ADA375B">
            <w:pPr>
              <w:spacing w:line="360" w:lineRule="exact"/>
              <w:jc w:val="center"/>
              <w:rPr>
                <w:rFonts w:eastAsia="仿宋_GB2312"/>
                <w:sz w:val="32"/>
                <w:szCs w:val="32"/>
              </w:rPr>
            </w:pPr>
            <w:r>
              <w:rPr>
                <w:rFonts w:hint="eastAsia" w:eastAsia="仿宋_GB2312" w:cs="宋体"/>
                <w:sz w:val="32"/>
                <w:szCs w:val="32"/>
              </w:rPr>
              <w:t>≮</w:t>
            </w:r>
            <w:r>
              <w:rPr>
                <w:rFonts w:eastAsia="仿宋_GB2312"/>
                <w:sz w:val="32"/>
                <w:szCs w:val="32"/>
              </w:rPr>
              <w:t>0.78</w:t>
            </w:r>
          </w:p>
        </w:tc>
      </w:tr>
      <w:tr w14:paraId="7CFC1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vAlign w:val="center"/>
          </w:tcPr>
          <w:p w14:paraId="26FEF414">
            <w:pPr>
              <w:spacing w:line="360" w:lineRule="exact"/>
              <w:jc w:val="center"/>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状态点3</w:t>
            </w:r>
          </w:p>
        </w:tc>
        <w:tc>
          <w:tcPr>
            <w:tcW w:w="1417" w:type="dxa"/>
            <w:shd w:val="clear" w:color="auto" w:fill="auto"/>
            <w:vAlign w:val="center"/>
          </w:tcPr>
          <w:p w14:paraId="1DE672EB">
            <w:pPr>
              <w:spacing w:line="360" w:lineRule="exact"/>
              <w:jc w:val="center"/>
              <w:rPr>
                <w:rFonts w:eastAsia="仿宋_GB2312"/>
                <w:sz w:val="32"/>
                <w:szCs w:val="32"/>
              </w:rPr>
            </w:pPr>
            <w:r>
              <w:rPr>
                <w:rFonts w:eastAsia="仿宋_GB2312"/>
                <w:sz w:val="32"/>
                <w:szCs w:val="32"/>
              </w:rPr>
              <w:t>7</w:t>
            </w:r>
          </w:p>
        </w:tc>
        <w:tc>
          <w:tcPr>
            <w:tcW w:w="1330" w:type="dxa"/>
            <w:shd w:val="clear" w:color="auto" w:fill="auto"/>
            <w:vAlign w:val="center"/>
          </w:tcPr>
          <w:p w14:paraId="2CD35812">
            <w:pPr>
              <w:spacing w:line="360" w:lineRule="exact"/>
              <w:jc w:val="center"/>
              <w:rPr>
                <w:rFonts w:eastAsia="仿宋_GB2312"/>
                <w:sz w:val="32"/>
                <w:szCs w:val="32"/>
              </w:rPr>
            </w:pPr>
            <w:r>
              <w:rPr>
                <w:rFonts w:eastAsia="仿宋_GB2312"/>
                <w:sz w:val="32"/>
                <w:szCs w:val="32"/>
              </w:rPr>
              <w:t>180</w:t>
            </w:r>
          </w:p>
        </w:tc>
        <w:tc>
          <w:tcPr>
            <w:tcW w:w="1361" w:type="dxa"/>
            <w:shd w:val="clear" w:color="auto" w:fill="auto"/>
            <w:vAlign w:val="center"/>
          </w:tcPr>
          <w:p w14:paraId="42E674F1">
            <w:pPr>
              <w:spacing w:line="360" w:lineRule="exact"/>
              <w:jc w:val="center"/>
              <w:rPr>
                <w:rFonts w:eastAsia="仿宋_GB2312"/>
                <w:sz w:val="32"/>
                <w:szCs w:val="32"/>
              </w:rPr>
            </w:pPr>
            <w:r>
              <w:rPr>
                <w:rFonts w:eastAsia="仿宋_GB2312"/>
                <w:sz w:val="32"/>
                <w:szCs w:val="32"/>
              </w:rPr>
              <w:t>2000</w:t>
            </w:r>
          </w:p>
        </w:tc>
        <w:tc>
          <w:tcPr>
            <w:tcW w:w="1276" w:type="dxa"/>
            <w:shd w:val="clear" w:color="auto" w:fill="auto"/>
            <w:vAlign w:val="center"/>
          </w:tcPr>
          <w:p w14:paraId="1E21298E">
            <w:pPr>
              <w:spacing w:line="360" w:lineRule="exact"/>
              <w:jc w:val="center"/>
              <w:rPr>
                <w:rFonts w:eastAsia="仿宋_GB2312"/>
                <w:sz w:val="32"/>
                <w:szCs w:val="32"/>
              </w:rPr>
            </w:pPr>
            <w:r>
              <w:rPr>
                <w:rFonts w:eastAsia="仿宋_GB2312"/>
                <w:sz w:val="32"/>
                <w:szCs w:val="32"/>
              </w:rPr>
              <w:t>130</w:t>
            </w:r>
          </w:p>
        </w:tc>
        <w:tc>
          <w:tcPr>
            <w:tcW w:w="1218" w:type="dxa"/>
            <w:shd w:val="clear" w:color="auto" w:fill="auto"/>
            <w:vAlign w:val="center"/>
          </w:tcPr>
          <w:p w14:paraId="7943E48E">
            <w:pPr>
              <w:spacing w:line="360" w:lineRule="exact"/>
              <w:jc w:val="center"/>
              <w:rPr>
                <w:rFonts w:eastAsia="仿宋_GB2312"/>
                <w:sz w:val="32"/>
                <w:szCs w:val="32"/>
              </w:rPr>
            </w:pPr>
            <w:r>
              <w:rPr>
                <w:rFonts w:hint="eastAsia" w:eastAsia="仿宋_GB2312" w:cs="宋体"/>
                <w:sz w:val="32"/>
                <w:szCs w:val="32"/>
              </w:rPr>
              <w:t>≮</w:t>
            </w:r>
            <w:r>
              <w:rPr>
                <w:rFonts w:eastAsia="仿宋_GB2312"/>
                <w:sz w:val="32"/>
                <w:szCs w:val="32"/>
              </w:rPr>
              <w:t>1400</w:t>
            </w:r>
          </w:p>
        </w:tc>
        <w:tc>
          <w:tcPr>
            <w:tcW w:w="1130" w:type="dxa"/>
            <w:shd w:val="clear" w:color="auto" w:fill="auto"/>
            <w:vAlign w:val="center"/>
          </w:tcPr>
          <w:p w14:paraId="3CA40FBA">
            <w:pPr>
              <w:spacing w:line="360" w:lineRule="exact"/>
              <w:jc w:val="center"/>
              <w:rPr>
                <w:rFonts w:eastAsia="仿宋_GB2312"/>
                <w:sz w:val="32"/>
                <w:szCs w:val="32"/>
              </w:rPr>
            </w:pPr>
            <w:r>
              <w:rPr>
                <w:rFonts w:hint="eastAsia" w:eastAsia="仿宋_GB2312" w:cs="宋体"/>
                <w:sz w:val="32"/>
                <w:szCs w:val="32"/>
              </w:rPr>
              <w:t>≮</w:t>
            </w:r>
            <w:r>
              <w:rPr>
                <w:rFonts w:eastAsia="仿宋_GB2312"/>
                <w:sz w:val="32"/>
                <w:szCs w:val="32"/>
              </w:rPr>
              <w:t>0.85</w:t>
            </w:r>
          </w:p>
        </w:tc>
      </w:tr>
    </w:tbl>
    <w:p w14:paraId="6EA5A7D1">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表1 给定参数</w:t>
      </w:r>
    </w:p>
    <w:p w14:paraId="6423F9D4">
      <w:pPr>
        <w:adjustRightInd w:val="0"/>
        <w:snapToGrid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降噪目标：高度</w:t>
      </w:r>
      <w:r>
        <w:rPr>
          <w:rFonts w:eastAsia="仿宋_GB2312" w:cs="仿宋_GB2312"/>
          <w:color w:val="000000" w:themeColor="text1"/>
          <w:sz w:val="32"/>
          <w:szCs w:val="32"/>
          <w:lang w:val="en-US"/>
          <w14:textFill>
            <w14:solidFill>
              <w14:schemeClr w14:val="tx1"/>
            </w14:solidFill>
          </w14:textFill>
        </w:rPr>
        <w:t>4.5km</w:t>
      </w:r>
      <w:r>
        <w:rPr>
          <w:rFonts w:hint="eastAsia" w:eastAsia="仿宋_GB2312" w:cs="仿宋_GB2312"/>
          <w:color w:val="000000" w:themeColor="text1"/>
          <w:sz w:val="32"/>
          <w:szCs w:val="32"/>
          <w:lang w:val="en-US"/>
          <w14:textFill>
            <w14:solidFill>
              <w14:schemeClr w14:val="tx1"/>
            </w14:solidFill>
          </w14:textFill>
        </w:rPr>
        <w:t>，表速</w:t>
      </w:r>
      <w:r>
        <w:rPr>
          <w:rFonts w:eastAsia="仿宋_GB2312" w:cs="仿宋_GB2312"/>
          <w:color w:val="000000" w:themeColor="text1"/>
          <w:sz w:val="32"/>
          <w:szCs w:val="32"/>
          <w:lang w:val="en-US"/>
          <w14:textFill>
            <w14:solidFill>
              <w14:schemeClr w14:val="tx1"/>
            </w14:solidFill>
          </w14:textFill>
        </w:rPr>
        <w:t>170km/h</w:t>
      </w:r>
      <w:r>
        <w:rPr>
          <w:rFonts w:hint="eastAsia" w:eastAsia="仿宋_GB2312" w:cs="仿宋_GB2312"/>
          <w:color w:val="000000" w:themeColor="text1"/>
          <w:sz w:val="32"/>
          <w:szCs w:val="32"/>
          <w:lang w:val="en-US"/>
          <w14:textFill>
            <w14:solidFill>
              <w14:schemeClr w14:val="tx1"/>
            </w14:solidFill>
          </w14:textFill>
        </w:rPr>
        <w:t>，螺旋桨转速</w:t>
      </w:r>
      <w:r>
        <w:rPr>
          <w:rFonts w:eastAsia="仿宋_GB2312" w:cs="仿宋_GB2312"/>
          <w:color w:val="000000" w:themeColor="text1"/>
          <w:sz w:val="32"/>
          <w:szCs w:val="32"/>
          <w:lang w:val="en-US"/>
          <w14:textFill>
            <w14:solidFill>
              <w14:schemeClr w14:val="tx1"/>
            </w14:solidFill>
          </w14:textFill>
        </w:rPr>
        <w:t>2200rpm</w:t>
      </w:r>
      <w:r>
        <w:rPr>
          <w:rFonts w:hint="eastAsia" w:eastAsia="仿宋_GB2312" w:cs="仿宋_GB2312"/>
          <w:color w:val="000000" w:themeColor="text1"/>
          <w:sz w:val="32"/>
          <w:szCs w:val="32"/>
          <w:lang w:val="en-US"/>
          <w14:textFill>
            <w14:solidFill>
              <w14:schemeClr w14:val="tx1"/>
            </w14:solidFill>
          </w14:textFill>
        </w:rPr>
        <w:t>，距螺旋桨旋转平面中心</w:t>
      </w:r>
      <w:r>
        <w:rPr>
          <w:rFonts w:eastAsia="仿宋_GB2312" w:cs="仿宋_GB2312"/>
          <w:color w:val="000000" w:themeColor="text1"/>
          <w:sz w:val="32"/>
          <w:szCs w:val="32"/>
          <w:lang w:val="en-US"/>
          <w14:textFill>
            <w14:solidFill>
              <w14:schemeClr w14:val="tx1"/>
            </w14:solidFill>
          </w14:textFill>
        </w:rPr>
        <w:t>2m</w:t>
      </w:r>
      <w:r>
        <w:rPr>
          <w:rFonts w:hint="eastAsia" w:eastAsia="仿宋_GB2312" w:cs="仿宋_GB2312"/>
          <w:color w:val="000000" w:themeColor="text1"/>
          <w:sz w:val="32"/>
          <w:szCs w:val="32"/>
          <w:lang w:val="en-US"/>
          <w14:textFill>
            <w14:solidFill>
              <w14:schemeClr w14:val="tx1"/>
            </w14:solidFill>
          </w14:textFill>
        </w:rPr>
        <w:t>位置处，噪声声压级为</w:t>
      </w:r>
      <w:r>
        <w:rPr>
          <w:rFonts w:eastAsia="仿宋_GB2312" w:cs="仿宋_GB2312"/>
          <w:color w:val="000000" w:themeColor="text1"/>
          <w:sz w:val="32"/>
          <w:szCs w:val="32"/>
          <w:lang w:val="en-US"/>
          <w14:textFill>
            <w14:solidFill>
              <w14:schemeClr w14:val="tx1"/>
            </w14:solidFill>
          </w14:textFill>
        </w:rPr>
        <w:t>1</w:t>
      </w:r>
      <w:r>
        <w:rPr>
          <w:rFonts w:hint="eastAsia" w:eastAsia="仿宋_GB2312" w:cs="仿宋_GB2312"/>
          <w:color w:val="000000" w:themeColor="text1"/>
          <w:sz w:val="32"/>
          <w:szCs w:val="32"/>
          <w:lang w:val="en-US"/>
          <w14:textFill>
            <w14:solidFill>
              <w14:schemeClr w14:val="tx1"/>
            </w14:solidFill>
          </w14:textFill>
        </w:rPr>
        <w:t>2</w:t>
      </w:r>
      <w:r>
        <w:rPr>
          <w:rFonts w:eastAsia="仿宋_GB2312" w:cs="仿宋_GB2312"/>
          <w:color w:val="000000" w:themeColor="text1"/>
          <w:sz w:val="32"/>
          <w:szCs w:val="32"/>
          <w:lang w:val="en-US"/>
          <w14:textFill>
            <w14:solidFill>
              <w14:schemeClr w14:val="tx1"/>
            </w14:solidFill>
          </w14:textFill>
        </w:rPr>
        <w:t>7dB</w:t>
      </w:r>
      <w:r>
        <w:rPr>
          <w:rFonts w:hint="eastAsia" w:eastAsia="仿宋_GB2312" w:cs="仿宋_GB2312"/>
          <w:color w:val="000000" w:themeColor="text1"/>
          <w:sz w:val="32"/>
          <w:szCs w:val="32"/>
          <w:lang w:val="en-US"/>
          <w14:textFill>
            <w14:solidFill>
              <w14:schemeClr w14:val="tx1"/>
            </w14:solidFill>
          </w14:textFill>
        </w:rPr>
        <w:t>（高目标值）/132dB（基本目标值）。</w:t>
      </w:r>
    </w:p>
    <w:p w14:paraId="5334326D">
      <w:pPr>
        <w:adjustRightInd w:val="0"/>
        <w:snapToGrid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本题目要求参赛团队的技术方案应能详细阐述螺旋桨的性能和噪声综合优化设计方法，并形成材料和仿真计算程序：</w:t>
      </w:r>
    </w:p>
    <w:p w14:paraId="147F5578">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（1）文档材料：包括但不限于国内外发展现状研究；技术方案；仿真结果分析以及图片、视频等。</w:t>
      </w:r>
    </w:p>
    <w:p w14:paraId="73FE9636">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（2）仿真程序：采用</w:t>
      </w:r>
      <w:r>
        <w:rPr>
          <w:rFonts w:eastAsia="仿宋_GB2312" w:cs="仿宋_GB2312"/>
          <w:color w:val="000000" w:themeColor="text1"/>
          <w:sz w:val="32"/>
          <w:szCs w:val="32"/>
          <w:lang w:val="en-US"/>
          <w14:textFill>
            <w14:solidFill>
              <w14:schemeClr w14:val="tx1"/>
            </w14:solidFill>
          </w14:textFill>
        </w:rPr>
        <w:t>CFD</w:t>
      </w:r>
      <w:r>
        <w:rPr>
          <w:rFonts w:hint="eastAsia" w:eastAsia="仿宋_GB2312" w:cs="仿宋_GB2312"/>
          <w:color w:val="000000" w:themeColor="text1"/>
          <w:sz w:val="32"/>
          <w:szCs w:val="32"/>
          <w:lang w:val="en-US"/>
          <w14:textFill>
            <w14:solidFill>
              <w14:schemeClr w14:val="tx1"/>
            </w14:solidFill>
          </w14:textFill>
        </w:rPr>
        <w:t>软件，输出仿真计算结果，设置的边界条件和仿真计算过程应备注详尽，且保证可以正常运行；给出噪声分析的计算程序。</w:t>
      </w:r>
    </w:p>
    <w:p w14:paraId="08D5899C">
      <w:pPr>
        <w:pStyle w:val="3"/>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六、</w:t>
      </w:r>
      <w:r>
        <w:rPr>
          <w:rFonts w:ascii="Times New Roman" w:hAnsi="Times New Roman" w:eastAsia="黑体" w:cs="黑体"/>
          <w:color w:val="000000" w:themeColor="text1"/>
          <w:lang w:val="en-US"/>
          <w14:textFill>
            <w14:solidFill>
              <w14:schemeClr w14:val="tx1"/>
            </w14:solidFill>
          </w14:textFill>
        </w:rPr>
        <w:t>作品评选</w:t>
      </w:r>
      <w:r>
        <w:rPr>
          <w:rFonts w:hint="eastAsia" w:ascii="Times New Roman" w:hAnsi="Times New Roman" w:eastAsia="黑体" w:cs="黑体"/>
          <w:color w:val="000000" w:themeColor="text1"/>
          <w:spacing w:val="0"/>
          <w:lang w:val="en-US" w:eastAsia="zh-CN"/>
          <w14:textFill>
            <w14:solidFill>
              <w14:schemeClr w14:val="tx1"/>
            </w14:solidFill>
          </w14:textFill>
        </w:rPr>
        <w:t>参考</w:t>
      </w:r>
      <w:r>
        <w:rPr>
          <w:rFonts w:ascii="Times New Roman" w:hAnsi="Times New Roman" w:eastAsia="黑体" w:cs="黑体"/>
          <w:color w:val="000000" w:themeColor="text1"/>
          <w:lang w:val="en-US"/>
          <w14:textFill>
            <w14:solidFill>
              <w14:schemeClr w14:val="tx1"/>
            </w14:solidFill>
          </w14:textFill>
        </w:rPr>
        <w:t>标准</w:t>
      </w:r>
    </w:p>
    <w:p w14:paraId="030CE00C">
      <w:p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作品以百分制进行打分，主要包括以下内容：</w:t>
      </w:r>
    </w:p>
    <w:p w14:paraId="1FFBCC95">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（1）</w:t>
      </w:r>
      <w:r>
        <w:rPr>
          <w:rFonts w:eastAsia="仿宋_GB2312" w:cs="仿宋_GB2312"/>
          <w:color w:val="000000" w:themeColor="text1"/>
          <w:sz w:val="32"/>
          <w:szCs w:val="32"/>
          <w:lang w:val="en-US"/>
          <w14:textFill>
            <w14:solidFill>
              <w14:schemeClr w14:val="tx1"/>
            </w14:solidFill>
          </w14:textFill>
        </w:rPr>
        <w:t>作品符合性（20分）：国内外发展现状研究（10分）；设计报告、使用说明和结果分析等文档完整性、规范性（10分）。</w:t>
      </w:r>
    </w:p>
    <w:p w14:paraId="19E427A8">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（2）</w:t>
      </w:r>
      <w:r>
        <w:rPr>
          <w:rFonts w:eastAsia="仿宋_GB2312" w:cs="仿宋_GB2312"/>
          <w:color w:val="000000" w:themeColor="text1"/>
          <w:sz w:val="32"/>
          <w:szCs w:val="32"/>
          <w:lang w:val="en-US"/>
          <w14:textFill>
            <w14:solidFill>
              <w14:schemeClr w14:val="tx1"/>
            </w14:solidFill>
          </w14:textFill>
        </w:rPr>
        <w:t>作品完整性（50分）：列出各种降噪措施及效果，给出详细的仿真分析结果（20分）；各种降噪措施对螺旋桨性能的影响，给出详细的仿真分析结果（20分）；螺旋桨降噪措施及效果的试验测试与对比分析结果（10分）。</w:t>
      </w:r>
    </w:p>
    <w:p w14:paraId="60D21300">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（3）</w:t>
      </w:r>
      <w:r>
        <w:rPr>
          <w:rFonts w:eastAsia="仿宋_GB2312" w:cs="仿宋_GB2312"/>
          <w:color w:val="000000" w:themeColor="text1"/>
          <w:sz w:val="32"/>
          <w:szCs w:val="32"/>
          <w:lang w:val="en-US"/>
          <w14:textFill>
            <w14:solidFill>
              <w14:schemeClr w14:val="tx1"/>
            </w14:solidFill>
          </w14:textFill>
        </w:rPr>
        <w:t>作品创新性（10分）：根据作品创新程度获取相应得分，采用新理论/方法对现有理论和算法有重大改善，并完成作品（10分）。</w:t>
      </w:r>
    </w:p>
    <w:p w14:paraId="762FBEF6">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（4）</w:t>
      </w:r>
      <w:r>
        <w:rPr>
          <w:rFonts w:eastAsia="仿宋_GB2312" w:cs="仿宋_GB2312"/>
          <w:color w:val="000000" w:themeColor="text1"/>
          <w:sz w:val="32"/>
          <w:szCs w:val="32"/>
          <w:lang w:val="en-US"/>
          <w14:textFill>
            <w14:solidFill>
              <w14:schemeClr w14:val="tx1"/>
            </w14:solidFill>
          </w14:textFill>
        </w:rPr>
        <w:t>指标先进性（20分）：在满足设计指标要求的基础上，相较于原噪声水平降低10dB以上（20分），降低5dB以上（10分）。</w:t>
      </w:r>
    </w:p>
    <w:p w14:paraId="065CF381">
      <w:pPr>
        <w:pStyle w:val="3"/>
        <w:spacing w:line="240" w:lineRule="auto"/>
        <w:ind w:firstLine="640" w:firstLineChars="200"/>
        <w:jc w:val="both"/>
        <w:rPr>
          <w:rFonts w:hint="eastAsia" w:ascii="Times New Roman" w:hAnsi="Times New Roman" w:eastAsia="黑体" w:cs="黑体"/>
          <w:color w:val="000000" w:themeColor="text1"/>
          <w:lang w:val="en-US"/>
          <w14:textFill>
            <w14:solidFill>
              <w14:schemeClr w14:val="tx1"/>
            </w14:solidFill>
          </w14:textFill>
        </w:rPr>
      </w:pPr>
      <w:bookmarkStart w:id="0" w:name="_Hlk177806754"/>
      <w:r>
        <w:rPr>
          <w:rFonts w:hint="eastAsia" w:ascii="Times New Roman" w:hAnsi="Times New Roman" w:eastAsia="黑体" w:cs="黑体"/>
          <w:color w:val="000000" w:themeColor="text1"/>
          <w:lang w:val="en-US"/>
          <w14:textFill>
            <w14:solidFill>
              <w14:schemeClr w14:val="tx1"/>
            </w14:solidFill>
          </w14:textFill>
        </w:rPr>
        <w:t>七、作品提交及评审安排</w:t>
      </w:r>
    </w:p>
    <w:bookmarkEnd w:id="0"/>
    <w:p w14:paraId="2D1B4761">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各学院于2024年10月前进行作品申报及其作者的资格及形式审查，并组成本学院评审委员会</w:t>
      </w:r>
      <w:r>
        <w:rPr>
          <w:rFonts w:hint="eastAsia" w:eastAsia="仿宋_GB2312" w:cs="仿宋_GB2312"/>
          <w:sz w:val="32"/>
          <w:szCs w:val="32"/>
          <w:lang w:val="en-US"/>
        </w:rPr>
        <w:t>。</w:t>
      </w:r>
    </w:p>
    <w:p w14:paraId="4E62A177">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各学院评审委员会于2024年1</w:t>
      </w:r>
      <w:r>
        <w:rPr>
          <w:rFonts w:hint="eastAsia" w:eastAsia="仿宋_GB2312" w:cs="仿宋_GB2312"/>
          <w:sz w:val="32"/>
          <w:szCs w:val="32"/>
          <w:lang w:val="en-US"/>
        </w:rPr>
        <w:t>0</w:t>
      </w:r>
      <w:r>
        <w:rPr>
          <w:rFonts w:eastAsia="仿宋_GB2312" w:cs="仿宋_GB2312"/>
          <w:sz w:val="32"/>
          <w:szCs w:val="32"/>
          <w:lang w:val="en-US"/>
        </w:rPr>
        <w:t>月底前完成对本学院申报作品的院级选拔赛，择优挑选作品，于2024年1</w:t>
      </w:r>
      <w:r>
        <w:rPr>
          <w:rFonts w:hint="eastAsia" w:eastAsia="仿宋_GB2312" w:cs="仿宋_GB2312"/>
          <w:sz w:val="32"/>
          <w:szCs w:val="32"/>
          <w:lang w:val="en-US"/>
        </w:rPr>
        <w:t>1</w:t>
      </w:r>
      <w:r>
        <w:rPr>
          <w:rFonts w:eastAsia="仿宋_GB2312" w:cs="仿宋_GB2312"/>
          <w:sz w:val="32"/>
          <w:szCs w:val="32"/>
          <w:lang w:val="en-US"/>
        </w:rPr>
        <w:t>月</w:t>
      </w:r>
      <w:r>
        <w:rPr>
          <w:rFonts w:hint="eastAsia" w:eastAsia="仿宋_GB2312" w:cs="仿宋_GB2312"/>
          <w:sz w:val="32"/>
          <w:szCs w:val="32"/>
          <w:lang w:val="en-US"/>
        </w:rPr>
        <w:t>8日前</w:t>
      </w:r>
      <w:r>
        <w:rPr>
          <w:rFonts w:eastAsia="仿宋_GB2312" w:cs="仿宋_GB2312"/>
          <w:sz w:val="32"/>
          <w:szCs w:val="32"/>
          <w:lang w:val="en-US"/>
        </w:rPr>
        <w:t>，向校组委会办公室（办公地点设在南湖校区立德楼团委403室）交送书面的作品申报书（附件</w:t>
      </w:r>
      <w:r>
        <w:rPr>
          <w:rFonts w:hint="eastAsia" w:eastAsia="仿宋_GB2312" w:cs="仿宋_GB2312"/>
          <w:sz w:val="32"/>
          <w:szCs w:val="32"/>
          <w:lang w:val="en-US" w:eastAsia="zh-CN"/>
        </w:rPr>
        <w:t>11</w:t>
      </w:r>
      <w:r>
        <w:rPr>
          <w:rFonts w:eastAsia="仿宋_GB2312" w:cs="仿宋_GB2312"/>
          <w:sz w:val="32"/>
          <w:szCs w:val="32"/>
          <w:lang w:val="en-US"/>
        </w:rPr>
        <w:t>）及作品汇总登记表（附件1</w:t>
      </w:r>
      <w:r>
        <w:rPr>
          <w:rFonts w:hint="eastAsia" w:eastAsia="仿宋_GB2312" w:cs="仿宋_GB2312"/>
          <w:sz w:val="32"/>
          <w:szCs w:val="32"/>
          <w:lang w:val="en-US" w:eastAsia="zh-CN"/>
        </w:rPr>
        <w:t>2</w:t>
      </w:r>
      <w:r>
        <w:rPr>
          <w:rFonts w:eastAsia="仿宋_GB2312" w:cs="仿宋_GB2312"/>
          <w:sz w:val="32"/>
          <w:szCs w:val="32"/>
          <w:lang w:val="en-US"/>
        </w:rPr>
        <w:t>），电子版发送至校科协邮箱</w:t>
      </w:r>
      <w:r>
        <w:fldChar w:fldCharType="begin"/>
      </w:r>
      <w:r>
        <w:instrText xml:space="preserve"> HYPERLINK "mailto:wutxskx@163.com。" </w:instrText>
      </w:r>
      <w:r>
        <w:fldChar w:fldCharType="separate"/>
      </w:r>
      <w:r>
        <w:rPr>
          <w:rStyle w:val="13"/>
          <w:rFonts w:eastAsia="仿宋_GB2312" w:cs="仿宋_GB2312"/>
          <w:sz w:val="32"/>
          <w:szCs w:val="32"/>
          <w:lang w:val="en-US"/>
        </w:rPr>
        <w:t>wutxskx@163.com。</w:t>
      </w:r>
      <w:r>
        <w:rPr>
          <w:rStyle w:val="13"/>
          <w:rFonts w:eastAsia="仿宋_GB2312" w:cs="仿宋_GB2312"/>
          <w:sz w:val="32"/>
          <w:szCs w:val="32"/>
          <w:lang w:val="en-US"/>
        </w:rPr>
        <w:fldChar w:fldCharType="end"/>
      </w:r>
    </w:p>
    <w:p w14:paraId="7E0D9C98">
      <w:pPr>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eastAsia="方正仿宋_GBK"/>
          <w:color w:val="000000" w:themeColor="text1"/>
          <w:sz w:val="32"/>
          <w:szCs w:val="32"/>
          <w:lang w:val="en-US"/>
          <w14:textFill>
            <w14:solidFill>
              <w14:schemeClr w14:val="tx1"/>
            </w14:solidFill>
          </w14:textFill>
        </w:rPr>
      </w:pPr>
      <w:r>
        <w:rPr>
          <w:rFonts w:eastAsia="仿宋_GB2312" w:cs="仿宋_GB2312"/>
          <w:sz w:val="32"/>
          <w:szCs w:val="32"/>
          <w:lang w:val="en-US"/>
        </w:rPr>
        <w:t>2024年11月</w:t>
      </w:r>
      <w:r>
        <w:rPr>
          <w:rFonts w:hint="eastAsia" w:eastAsia="仿宋_GB2312" w:cs="仿宋_GB2312"/>
          <w:sz w:val="32"/>
          <w:szCs w:val="32"/>
          <w:lang w:val="en-US"/>
        </w:rPr>
        <w:t>中旬</w:t>
      </w:r>
      <w:r>
        <w:rPr>
          <w:rFonts w:eastAsia="仿宋_GB2312" w:cs="仿宋_GB2312"/>
          <w:sz w:val="32"/>
          <w:szCs w:val="32"/>
          <w:lang w:val="en-US"/>
        </w:rPr>
        <w:t>至2024年12月</w:t>
      </w:r>
      <w:r>
        <w:rPr>
          <w:rFonts w:hint="eastAsia" w:eastAsia="仿宋_GB2312" w:cs="仿宋_GB2312"/>
          <w:sz w:val="32"/>
          <w:szCs w:val="32"/>
          <w:lang w:val="en-US"/>
        </w:rPr>
        <w:t>中旬，校评审委员会对作品进行书面评审</w:t>
      </w:r>
      <w:r>
        <w:rPr>
          <w:rFonts w:eastAsia="仿宋_GB2312" w:cs="仿宋_GB2312"/>
          <w:sz w:val="32"/>
          <w:szCs w:val="32"/>
          <w:lang w:val="en-US"/>
        </w:rPr>
        <w:t>、对入围终审决</w:t>
      </w:r>
      <w:bookmarkStart w:id="1" w:name="_GoBack"/>
      <w:bookmarkEnd w:id="1"/>
      <w:r>
        <w:rPr>
          <w:rFonts w:eastAsia="仿宋_GB2312" w:cs="仿宋_GB2312"/>
          <w:sz w:val="32"/>
          <w:szCs w:val="32"/>
          <w:lang w:val="en-US"/>
        </w:rPr>
        <w:t>赛项目进行公开答辩</w:t>
      </w:r>
      <w:r>
        <w:rPr>
          <w:rFonts w:hint="eastAsia" w:eastAsia="仿宋_GB2312" w:cs="仿宋_GB2312"/>
          <w:sz w:val="32"/>
          <w:szCs w:val="32"/>
          <w:lang w:val="en-US"/>
        </w:rPr>
        <w:t>。</w:t>
      </w:r>
    </w:p>
    <w:sectPr>
      <w:footerReference r:id="rId3" w:type="default"/>
      <w:pgSz w:w="11906" w:h="16838"/>
      <w:pgMar w:top="1985" w:right="1588" w:bottom="1985"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简体">
    <w:altName w:val="微软雅黑"/>
    <w:panose1 w:val="00000000000000000000"/>
    <w:charset w:val="86"/>
    <w:family w:val="script"/>
    <w:pitch w:val="default"/>
    <w:sig w:usb0="00000000" w:usb1="00000000" w:usb2="00000012" w:usb3="00000000" w:csb0="00040001" w:csb1="00000000"/>
  </w:font>
  <w:font w:name="方正仿宋楷体">
    <w:altName w:val="仿宋"/>
    <w:panose1 w:val="00000000000000000000"/>
    <w:charset w:val="00"/>
    <w:family w:val="auto"/>
    <w:pitch w:val="default"/>
    <w:sig w:usb0="00000000" w:usb1="00000000" w:usb2="00000000" w:usb3="00000000" w:csb0="00000000" w:csb1="00000000"/>
  </w:font>
  <w:font w:name="方正楷体简体">
    <w:altName w:val="微软雅黑"/>
    <w:panose1 w:val="00000000000000000000"/>
    <w:charset w:val="86"/>
    <w:family w:val="script"/>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82016" w:usb3="00000000" w:csb0="00040001"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52278436"/>
    </w:sdtPr>
    <w:sdtContent>
      <w:p w14:paraId="441CDF28">
        <w:pPr>
          <w:pStyle w:val="5"/>
          <w:ind w:firstLine="360"/>
          <w:jc w:val="center"/>
          <w:rPr>
            <w:rFonts w:hint="eastAsia"/>
          </w:rPr>
        </w:pPr>
        <w:r>
          <w:fldChar w:fldCharType="begin"/>
        </w:r>
        <w:r>
          <w:instrText xml:space="preserve">PAGE   \* MERGEFORMAT</w:instrText>
        </w:r>
        <w:r>
          <w:fldChar w:fldCharType="separate"/>
        </w:r>
        <w:r>
          <w:rPr>
            <w:lang w:val="zh-CN"/>
          </w:rPr>
          <w:t>2</w:t>
        </w:r>
        <w:r>
          <w:fldChar w:fldCharType="end"/>
        </w:r>
      </w:p>
    </w:sdtContent>
  </w:sdt>
  <w:p w14:paraId="22A9D8AD">
    <w:pPr>
      <w:pStyle w:val="5"/>
      <w:ind w:firstLine="360"/>
      <w:rPr>
        <w:rFonts w:hint="eastAsia"/>
      </w:rPr>
    </w:pPr>
  </w:p>
  <w:p w14:paraId="47D7E0AB">
    <w:pPr>
      <w:ind w:firstLine="480"/>
    </w:pPr>
  </w:p>
  <w:p w14:paraId="6E8AFF1B">
    <w:pPr>
      <w:ind w:firstLine="480"/>
    </w:pPr>
  </w:p>
  <w:p w14:paraId="78E6E9B4">
    <w:pPr>
      <w:ind w:firstLine="480"/>
    </w:pPr>
  </w:p>
  <w:p w14:paraId="294495DE">
    <w:pPr>
      <w:ind w:firstLine="480"/>
    </w:pPr>
  </w:p>
  <w:p w14:paraId="68F098AF">
    <w:pPr>
      <w:ind w:firstLine="48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994999"/>
    <w:multiLevelType w:val="singleLevel"/>
    <w:tmpl w:val="52994999"/>
    <w:lvl w:ilvl="0" w:tentative="0">
      <w:start w:val="1"/>
      <w:numFmt w:val="decimal"/>
      <w:pStyle w:val="4"/>
      <w:suff w:val="space"/>
      <w:lvlText w:val="%1."/>
      <w:lvlJc w:val="left"/>
      <w:pPr>
        <w:ind w:left="454" w:hanging="454"/>
      </w:pPr>
      <w:rPr>
        <w:rFonts w:hint="default" w:eastAsia="方正仿宋楷体"/>
        <w:sz w:val="32"/>
        <w:szCs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2OGM1NTVhMWZkYzAxODEwYjA0ZDliMzMwYzM3NTAifQ=="/>
  </w:docVars>
  <w:rsids>
    <w:rsidRoot w:val="008769EE"/>
    <w:rsid w:val="000024AF"/>
    <w:rsid w:val="00005D1C"/>
    <w:rsid w:val="00017E5B"/>
    <w:rsid w:val="00021C1D"/>
    <w:rsid w:val="00057714"/>
    <w:rsid w:val="000626B0"/>
    <w:rsid w:val="00064968"/>
    <w:rsid w:val="00075C5A"/>
    <w:rsid w:val="00095001"/>
    <w:rsid w:val="000A6775"/>
    <w:rsid w:val="000D57EF"/>
    <w:rsid w:val="0010211D"/>
    <w:rsid w:val="0011069F"/>
    <w:rsid w:val="00111E5D"/>
    <w:rsid w:val="00120156"/>
    <w:rsid w:val="001367A9"/>
    <w:rsid w:val="00143054"/>
    <w:rsid w:val="00146DB3"/>
    <w:rsid w:val="001579F2"/>
    <w:rsid w:val="00164C26"/>
    <w:rsid w:val="0016564C"/>
    <w:rsid w:val="00177608"/>
    <w:rsid w:val="00186ACE"/>
    <w:rsid w:val="001B0D74"/>
    <w:rsid w:val="001B2C6C"/>
    <w:rsid w:val="001C0DFA"/>
    <w:rsid w:val="001D0729"/>
    <w:rsid w:val="001D71C2"/>
    <w:rsid w:val="001E760D"/>
    <w:rsid w:val="001E77C2"/>
    <w:rsid w:val="001F6CC8"/>
    <w:rsid w:val="0020086A"/>
    <w:rsid w:val="00205E3B"/>
    <w:rsid w:val="00236E3E"/>
    <w:rsid w:val="0025346B"/>
    <w:rsid w:val="002560B0"/>
    <w:rsid w:val="00281AE9"/>
    <w:rsid w:val="00283877"/>
    <w:rsid w:val="002938E3"/>
    <w:rsid w:val="002B0D40"/>
    <w:rsid w:val="002B6DDC"/>
    <w:rsid w:val="002C07F7"/>
    <w:rsid w:val="002E1239"/>
    <w:rsid w:val="002E7BFD"/>
    <w:rsid w:val="002F7D9C"/>
    <w:rsid w:val="00341051"/>
    <w:rsid w:val="00351403"/>
    <w:rsid w:val="00354FAF"/>
    <w:rsid w:val="00363E2D"/>
    <w:rsid w:val="00364FC6"/>
    <w:rsid w:val="00371816"/>
    <w:rsid w:val="00392185"/>
    <w:rsid w:val="0039481F"/>
    <w:rsid w:val="003B4AA2"/>
    <w:rsid w:val="003B6C68"/>
    <w:rsid w:val="003B786C"/>
    <w:rsid w:val="003E007F"/>
    <w:rsid w:val="003E2852"/>
    <w:rsid w:val="003E2C02"/>
    <w:rsid w:val="00400B52"/>
    <w:rsid w:val="00403615"/>
    <w:rsid w:val="004038FC"/>
    <w:rsid w:val="00405B32"/>
    <w:rsid w:val="00407F26"/>
    <w:rsid w:val="0041464C"/>
    <w:rsid w:val="00440E37"/>
    <w:rsid w:val="00442642"/>
    <w:rsid w:val="0044592C"/>
    <w:rsid w:val="0044694F"/>
    <w:rsid w:val="00462A59"/>
    <w:rsid w:val="00463782"/>
    <w:rsid w:val="00471974"/>
    <w:rsid w:val="00476A7D"/>
    <w:rsid w:val="00483410"/>
    <w:rsid w:val="004876C3"/>
    <w:rsid w:val="00494F44"/>
    <w:rsid w:val="00496D3E"/>
    <w:rsid w:val="004A0A91"/>
    <w:rsid w:val="004B00B4"/>
    <w:rsid w:val="004B01E5"/>
    <w:rsid w:val="004B6FF1"/>
    <w:rsid w:val="004D0FC5"/>
    <w:rsid w:val="004E22CE"/>
    <w:rsid w:val="004F30AF"/>
    <w:rsid w:val="004F3DC9"/>
    <w:rsid w:val="00511914"/>
    <w:rsid w:val="00511A8B"/>
    <w:rsid w:val="00517736"/>
    <w:rsid w:val="00532B4E"/>
    <w:rsid w:val="005333BA"/>
    <w:rsid w:val="00537F15"/>
    <w:rsid w:val="00553DCC"/>
    <w:rsid w:val="00554C5C"/>
    <w:rsid w:val="005753FB"/>
    <w:rsid w:val="00577641"/>
    <w:rsid w:val="00580524"/>
    <w:rsid w:val="00585CAC"/>
    <w:rsid w:val="005944CA"/>
    <w:rsid w:val="005A1799"/>
    <w:rsid w:val="005A4069"/>
    <w:rsid w:val="005A4226"/>
    <w:rsid w:val="005A5BBF"/>
    <w:rsid w:val="005B4037"/>
    <w:rsid w:val="005B5A13"/>
    <w:rsid w:val="005C1AAC"/>
    <w:rsid w:val="005D33E1"/>
    <w:rsid w:val="005E0F11"/>
    <w:rsid w:val="00603AF5"/>
    <w:rsid w:val="006047E7"/>
    <w:rsid w:val="00606DA8"/>
    <w:rsid w:val="00613673"/>
    <w:rsid w:val="00613AAA"/>
    <w:rsid w:val="006226BA"/>
    <w:rsid w:val="00633F6B"/>
    <w:rsid w:val="00636F96"/>
    <w:rsid w:val="00653E9B"/>
    <w:rsid w:val="00663468"/>
    <w:rsid w:val="0066573D"/>
    <w:rsid w:val="0068166A"/>
    <w:rsid w:val="006A3A6E"/>
    <w:rsid w:val="006A51DF"/>
    <w:rsid w:val="006B087C"/>
    <w:rsid w:val="006C3959"/>
    <w:rsid w:val="006C732F"/>
    <w:rsid w:val="006E6DDA"/>
    <w:rsid w:val="00705E48"/>
    <w:rsid w:val="00715549"/>
    <w:rsid w:val="007216F0"/>
    <w:rsid w:val="0073249A"/>
    <w:rsid w:val="0074535A"/>
    <w:rsid w:val="00746651"/>
    <w:rsid w:val="00765C33"/>
    <w:rsid w:val="00777C79"/>
    <w:rsid w:val="007879EC"/>
    <w:rsid w:val="007F195A"/>
    <w:rsid w:val="00805D49"/>
    <w:rsid w:val="00816F55"/>
    <w:rsid w:val="00825FD8"/>
    <w:rsid w:val="008313DD"/>
    <w:rsid w:val="008321B0"/>
    <w:rsid w:val="00851D22"/>
    <w:rsid w:val="00853048"/>
    <w:rsid w:val="00860FD3"/>
    <w:rsid w:val="008669B5"/>
    <w:rsid w:val="00867EEA"/>
    <w:rsid w:val="00872C0C"/>
    <w:rsid w:val="008769EE"/>
    <w:rsid w:val="0088143A"/>
    <w:rsid w:val="008836AC"/>
    <w:rsid w:val="00887D7E"/>
    <w:rsid w:val="0089086B"/>
    <w:rsid w:val="008B43EC"/>
    <w:rsid w:val="008C4B94"/>
    <w:rsid w:val="008E3EE3"/>
    <w:rsid w:val="008F1547"/>
    <w:rsid w:val="008F2FB1"/>
    <w:rsid w:val="00912ADC"/>
    <w:rsid w:val="00917F07"/>
    <w:rsid w:val="00923192"/>
    <w:rsid w:val="00931DCA"/>
    <w:rsid w:val="0093518D"/>
    <w:rsid w:val="00937CB6"/>
    <w:rsid w:val="00953BA4"/>
    <w:rsid w:val="00954857"/>
    <w:rsid w:val="00962495"/>
    <w:rsid w:val="009632E8"/>
    <w:rsid w:val="00963FEF"/>
    <w:rsid w:val="00966187"/>
    <w:rsid w:val="00987542"/>
    <w:rsid w:val="00995541"/>
    <w:rsid w:val="00996802"/>
    <w:rsid w:val="009A5F81"/>
    <w:rsid w:val="009E3A06"/>
    <w:rsid w:val="00A0235C"/>
    <w:rsid w:val="00A20E01"/>
    <w:rsid w:val="00A22759"/>
    <w:rsid w:val="00A24D47"/>
    <w:rsid w:val="00A30D68"/>
    <w:rsid w:val="00A31A98"/>
    <w:rsid w:val="00A34E50"/>
    <w:rsid w:val="00A4232F"/>
    <w:rsid w:val="00A43480"/>
    <w:rsid w:val="00A460CE"/>
    <w:rsid w:val="00A503EF"/>
    <w:rsid w:val="00A85F6E"/>
    <w:rsid w:val="00AA40B8"/>
    <w:rsid w:val="00AA7BD8"/>
    <w:rsid w:val="00AB1BF4"/>
    <w:rsid w:val="00AC332D"/>
    <w:rsid w:val="00AD025A"/>
    <w:rsid w:val="00AD24CF"/>
    <w:rsid w:val="00AD6CFA"/>
    <w:rsid w:val="00AE66B7"/>
    <w:rsid w:val="00AF6B5D"/>
    <w:rsid w:val="00B0258C"/>
    <w:rsid w:val="00B057EF"/>
    <w:rsid w:val="00B23E63"/>
    <w:rsid w:val="00B32E7F"/>
    <w:rsid w:val="00B40CAF"/>
    <w:rsid w:val="00B52CCC"/>
    <w:rsid w:val="00B70A95"/>
    <w:rsid w:val="00B80EC7"/>
    <w:rsid w:val="00BA70BA"/>
    <w:rsid w:val="00BC1B59"/>
    <w:rsid w:val="00BD6935"/>
    <w:rsid w:val="00BE634B"/>
    <w:rsid w:val="00BF4707"/>
    <w:rsid w:val="00BF4E2D"/>
    <w:rsid w:val="00C1224C"/>
    <w:rsid w:val="00C127F4"/>
    <w:rsid w:val="00C217F1"/>
    <w:rsid w:val="00C21E5C"/>
    <w:rsid w:val="00C24C93"/>
    <w:rsid w:val="00C5035C"/>
    <w:rsid w:val="00C60328"/>
    <w:rsid w:val="00C678B8"/>
    <w:rsid w:val="00C81301"/>
    <w:rsid w:val="00C82B11"/>
    <w:rsid w:val="00C90F03"/>
    <w:rsid w:val="00C97BA0"/>
    <w:rsid w:val="00CB5FAC"/>
    <w:rsid w:val="00CF0C5A"/>
    <w:rsid w:val="00D05DE3"/>
    <w:rsid w:val="00D35340"/>
    <w:rsid w:val="00D474E2"/>
    <w:rsid w:val="00D531BB"/>
    <w:rsid w:val="00D54A83"/>
    <w:rsid w:val="00D55D40"/>
    <w:rsid w:val="00D64A7B"/>
    <w:rsid w:val="00D71164"/>
    <w:rsid w:val="00D74252"/>
    <w:rsid w:val="00D755E0"/>
    <w:rsid w:val="00D8092B"/>
    <w:rsid w:val="00D826F5"/>
    <w:rsid w:val="00D86E34"/>
    <w:rsid w:val="00D905C1"/>
    <w:rsid w:val="00DA2624"/>
    <w:rsid w:val="00DA36E9"/>
    <w:rsid w:val="00DA4A6A"/>
    <w:rsid w:val="00DA6517"/>
    <w:rsid w:val="00DB02D9"/>
    <w:rsid w:val="00DB59F1"/>
    <w:rsid w:val="00DE6299"/>
    <w:rsid w:val="00DF09AA"/>
    <w:rsid w:val="00DF64DF"/>
    <w:rsid w:val="00DF78E0"/>
    <w:rsid w:val="00E01DD4"/>
    <w:rsid w:val="00E02303"/>
    <w:rsid w:val="00E05639"/>
    <w:rsid w:val="00E067C4"/>
    <w:rsid w:val="00E13134"/>
    <w:rsid w:val="00E30024"/>
    <w:rsid w:val="00E46C70"/>
    <w:rsid w:val="00E47733"/>
    <w:rsid w:val="00E5011B"/>
    <w:rsid w:val="00E524CD"/>
    <w:rsid w:val="00E607B7"/>
    <w:rsid w:val="00E65FC6"/>
    <w:rsid w:val="00E66476"/>
    <w:rsid w:val="00E72C07"/>
    <w:rsid w:val="00E909FD"/>
    <w:rsid w:val="00E934E5"/>
    <w:rsid w:val="00EA0B44"/>
    <w:rsid w:val="00EA697C"/>
    <w:rsid w:val="00EB1E9B"/>
    <w:rsid w:val="00EB2BDB"/>
    <w:rsid w:val="00EB4B20"/>
    <w:rsid w:val="00ED6E87"/>
    <w:rsid w:val="00EF3C50"/>
    <w:rsid w:val="00F1317D"/>
    <w:rsid w:val="00F256C4"/>
    <w:rsid w:val="00F26931"/>
    <w:rsid w:val="00F405B3"/>
    <w:rsid w:val="00F57CAE"/>
    <w:rsid w:val="00F70F5B"/>
    <w:rsid w:val="00F712AD"/>
    <w:rsid w:val="00F74A1C"/>
    <w:rsid w:val="00F75202"/>
    <w:rsid w:val="00F851A6"/>
    <w:rsid w:val="00F910DA"/>
    <w:rsid w:val="00FA1D99"/>
    <w:rsid w:val="00FC735F"/>
    <w:rsid w:val="00FD1D6E"/>
    <w:rsid w:val="00FF5C3F"/>
    <w:rsid w:val="011D4668"/>
    <w:rsid w:val="01AD4814"/>
    <w:rsid w:val="01D25B00"/>
    <w:rsid w:val="01D51F5B"/>
    <w:rsid w:val="02481270"/>
    <w:rsid w:val="029E34F5"/>
    <w:rsid w:val="03294FF9"/>
    <w:rsid w:val="03803D68"/>
    <w:rsid w:val="03910A32"/>
    <w:rsid w:val="03FE7196"/>
    <w:rsid w:val="040E5D41"/>
    <w:rsid w:val="043549F2"/>
    <w:rsid w:val="04816A57"/>
    <w:rsid w:val="04853FBB"/>
    <w:rsid w:val="051528EC"/>
    <w:rsid w:val="05185E54"/>
    <w:rsid w:val="05776D66"/>
    <w:rsid w:val="05C978FD"/>
    <w:rsid w:val="05E31242"/>
    <w:rsid w:val="0671705A"/>
    <w:rsid w:val="06732134"/>
    <w:rsid w:val="06F55DEF"/>
    <w:rsid w:val="07463F1D"/>
    <w:rsid w:val="078F2493"/>
    <w:rsid w:val="07901CC5"/>
    <w:rsid w:val="0795514D"/>
    <w:rsid w:val="0840076F"/>
    <w:rsid w:val="08601D96"/>
    <w:rsid w:val="08C25676"/>
    <w:rsid w:val="09644BDE"/>
    <w:rsid w:val="09AA3609"/>
    <w:rsid w:val="0A260073"/>
    <w:rsid w:val="0A8F7AAE"/>
    <w:rsid w:val="0AD671E5"/>
    <w:rsid w:val="0B2B6586"/>
    <w:rsid w:val="0B4A5469"/>
    <w:rsid w:val="0B6B3F04"/>
    <w:rsid w:val="0B6F69F0"/>
    <w:rsid w:val="0B8F177D"/>
    <w:rsid w:val="0C645CC6"/>
    <w:rsid w:val="0C955B7E"/>
    <w:rsid w:val="0CAD1E5B"/>
    <w:rsid w:val="0D09135F"/>
    <w:rsid w:val="0D4764C0"/>
    <w:rsid w:val="0D7E4529"/>
    <w:rsid w:val="0DA54A80"/>
    <w:rsid w:val="0DCF4D92"/>
    <w:rsid w:val="0EDC0AFF"/>
    <w:rsid w:val="0EF0331F"/>
    <w:rsid w:val="0F78357E"/>
    <w:rsid w:val="0FA66A75"/>
    <w:rsid w:val="0FB12E15"/>
    <w:rsid w:val="106C4753"/>
    <w:rsid w:val="10772CDB"/>
    <w:rsid w:val="107A0F05"/>
    <w:rsid w:val="107F47F9"/>
    <w:rsid w:val="10DB3A4D"/>
    <w:rsid w:val="113D4D7B"/>
    <w:rsid w:val="11672B32"/>
    <w:rsid w:val="1178767D"/>
    <w:rsid w:val="11AD4CBD"/>
    <w:rsid w:val="11D96D62"/>
    <w:rsid w:val="11FC32D7"/>
    <w:rsid w:val="120851FE"/>
    <w:rsid w:val="12415B32"/>
    <w:rsid w:val="12604308"/>
    <w:rsid w:val="12647A72"/>
    <w:rsid w:val="12A47462"/>
    <w:rsid w:val="12AB1133"/>
    <w:rsid w:val="12E36BE9"/>
    <w:rsid w:val="13221EE1"/>
    <w:rsid w:val="138059EE"/>
    <w:rsid w:val="138E2FF9"/>
    <w:rsid w:val="13CA2B4E"/>
    <w:rsid w:val="13EE5957"/>
    <w:rsid w:val="14294F3F"/>
    <w:rsid w:val="145A1BF7"/>
    <w:rsid w:val="14851B79"/>
    <w:rsid w:val="15AA5E96"/>
    <w:rsid w:val="15D942D4"/>
    <w:rsid w:val="162866A2"/>
    <w:rsid w:val="167224E4"/>
    <w:rsid w:val="16921FAF"/>
    <w:rsid w:val="177B78C5"/>
    <w:rsid w:val="17E2511D"/>
    <w:rsid w:val="1800389F"/>
    <w:rsid w:val="1804590C"/>
    <w:rsid w:val="181F20AD"/>
    <w:rsid w:val="184414B7"/>
    <w:rsid w:val="189B4472"/>
    <w:rsid w:val="19300544"/>
    <w:rsid w:val="19492385"/>
    <w:rsid w:val="19883A90"/>
    <w:rsid w:val="1A1553DD"/>
    <w:rsid w:val="1A1667EC"/>
    <w:rsid w:val="1AD27C6F"/>
    <w:rsid w:val="1B24668A"/>
    <w:rsid w:val="1BED1E2C"/>
    <w:rsid w:val="1C612DAD"/>
    <w:rsid w:val="1D2D60B2"/>
    <w:rsid w:val="1D3B0FE4"/>
    <w:rsid w:val="1D435FFF"/>
    <w:rsid w:val="1D540A00"/>
    <w:rsid w:val="1DA327A0"/>
    <w:rsid w:val="1DA67191"/>
    <w:rsid w:val="1DBC4027"/>
    <w:rsid w:val="1E504BF2"/>
    <w:rsid w:val="1EA907D1"/>
    <w:rsid w:val="1F066139"/>
    <w:rsid w:val="1F3C04FF"/>
    <w:rsid w:val="1F762BAF"/>
    <w:rsid w:val="20123648"/>
    <w:rsid w:val="21DA0F90"/>
    <w:rsid w:val="21FD6C01"/>
    <w:rsid w:val="22463DDE"/>
    <w:rsid w:val="227E692E"/>
    <w:rsid w:val="22881F58"/>
    <w:rsid w:val="22E55DA3"/>
    <w:rsid w:val="231F12DE"/>
    <w:rsid w:val="23531B69"/>
    <w:rsid w:val="23835AF5"/>
    <w:rsid w:val="23991047"/>
    <w:rsid w:val="23B107E7"/>
    <w:rsid w:val="23B940CE"/>
    <w:rsid w:val="242F1397"/>
    <w:rsid w:val="25324A72"/>
    <w:rsid w:val="2604714B"/>
    <w:rsid w:val="26680B0E"/>
    <w:rsid w:val="276607BD"/>
    <w:rsid w:val="27707807"/>
    <w:rsid w:val="277E3A4E"/>
    <w:rsid w:val="28E52AFE"/>
    <w:rsid w:val="29095901"/>
    <w:rsid w:val="290F58EC"/>
    <w:rsid w:val="29712213"/>
    <w:rsid w:val="2A641BAA"/>
    <w:rsid w:val="2A85768A"/>
    <w:rsid w:val="2B0E3A48"/>
    <w:rsid w:val="2B2B347E"/>
    <w:rsid w:val="2B5841C1"/>
    <w:rsid w:val="2B9C2019"/>
    <w:rsid w:val="2BC2788C"/>
    <w:rsid w:val="2BE61BF3"/>
    <w:rsid w:val="2BE63207"/>
    <w:rsid w:val="2BED05B2"/>
    <w:rsid w:val="2C112589"/>
    <w:rsid w:val="2C1B5B53"/>
    <w:rsid w:val="2CD92454"/>
    <w:rsid w:val="2D5072C9"/>
    <w:rsid w:val="2D9737AA"/>
    <w:rsid w:val="2E44738D"/>
    <w:rsid w:val="2E483CF0"/>
    <w:rsid w:val="2EAE282B"/>
    <w:rsid w:val="2ED43E1F"/>
    <w:rsid w:val="2EF61F5F"/>
    <w:rsid w:val="2F204D2F"/>
    <w:rsid w:val="2F213D0C"/>
    <w:rsid w:val="2F6B6D60"/>
    <w:rsid w:val="2FCD7BF6"/>
    <w:rsid w:val="30280776"/>
    <w:rsid w:val="30D8752B"/>
    <w:rsid w:val="31327933"/>
    <w:rsid w:val="314F7592"/>
    <w:rsid w:val="32047B94"/>
    <w:rsid w:val="32886AF3"/>
    <w:rsid w:val="32EF5010"/>
    <w:rsid w:val="33020A40"/>
    <w:rsid w:val="33047391"/>
    <w:rsid w:val="333332D8"/>
    <w:rsid w:val="333C43C8"/>
    <w:rsid w:val="338737FF"/>
    <w:rsid w:val="347270AC"/>
    <w:rsid w:val="34A400A9"/>
    <w:rsid w:val="350D59DC"/>
    <w:rsid w:val="351116A8"/>
    <w:rsid w:val="359C73A0"/>
    <w:rsid w:val="35F73B2D"/>
    <w:rsid w:val="36160F00"/>
    <w:rsid w:val="36A171E4"/>
    <w:rsid w:val="375B41E8"/>
    <w:rsid w:val="37983B5D"/>
    <w:rsid w:val="37E008B4"/>
    <w:rsid w:val="37E3463B"/>
    <w:rsid w:val="38731E86"/>
    <w:rsid w:val="38A54F26"/>
    <w:rsid w:val="38AB24E9"/>
    <w:rsid w:val="38DD789A"/>
    <w:rsid w:val="393E61F7"/>
    <w:rsid w:val="39547B8F"/>
    <w:rsid w:val="396669FF"/>
    <w:rsid w:val="397B56DC"/>
    <w:rsid w:val="39AC7A37"/>
    <w:rsid w:val="39EE0ECA"/>
    <w:rsid w:val="3A010BF4"/>
    <w:rsid w:val="3A5A5133"/>
    <w:rsid w:val="3A5F052B"/>
    <w:rsid w:val="3B3347D5"/>
    <w:rsid w:val="3BC02155"/>
    <w:rsid w:val="3BC437D1"/>
    <w:rsid w:val="3BC82C7B"/>
    <w:rsid w:val="3BF7E6BF"/>
    <w:rsid w:val="3C28581E"/>
    <w:rsid w:val="3C4538F8"/>
    <w:rsid w:val="3CA2297F"/>
    <w:rsid w:val="3CD975B2"/>
    <w:rsid w:val="3CFC1E0B"/>
    <w:rsid w:val="3CFF1E29"/>
    <w:rsid w:val="3D7D1865"/>
    <w:rsid w:val="3DD2264E"/>
    <w:rsid w:val="3ED27DBD"/>
    <w:rsid w:val="3F0C0676"/>
    <w:rsid w:val="3F141141"/>
    <w:rsid w:val="3F5A3C2F"/>
    <w:rsid w:val="3F724603"/>
    <w:rsid w:val="3FC76EA6"/>
    <w:rsid w:val="40244897"/>
    <w:rsid w:val="40504E9C"/>
    <w:rsid w:val="40892A6A"/>
    <w:rsid w:val="4090448B"/>
    <w:rsid w:val="4185378C"/>
    <w:rsid w:val="431E490D"/>
    <w:rsid w:val="4384772F"/>
    <w:rsid w:val="43850177"/>
    <w:rsid w:val="43865400"/>
    <w:rsid w:val="44362561"/>
    <w:rsid w:val="443B2D53"/>
    <w:rsid w:val="445341F2"/>
    <w:rsid w:val="44834750"/>
    <w:rsid w:val="44DB2ACE"/>
    <w:rsid w:val="458849D3"/>
    <w:rsid w:val="45A06791"/>
    <w:rsid w:val="45B1292D"/>
    <w:rsid w:val="45BF74A8"/>
    <w:rsid w:val="45CD38CF"/>
    <w:rsid w:val="462E307C"/>
    <w:rsid w:val="464072B5"/>
    <w:rsid w:val="464D21B7"/>
    <w:rsid w:val="46CA635B"/>
    <w:rsid w:val="489A6F14"/>
    <w:rsid w:val="48F60DA9"/>
    <w:rsid w:val="494B597C"/>
    <w:rsid w:val="498072FA"/>
    <w:rsid w:val="49962324"/>
    <w:rsid w:val="49ED0155"/>
    <w:rsid w:val="4A5D3697"/>
    <w:rsid w:val="4AFC6247"/>
    <w:rsid w:val="4B704D15"/>
    <w:rsid w:val="4B8F5D2D"/>
    <w:rsid w:val="4B9A22C6"/>
    <w:rsid w:val="4C0C0983"/>
    <w:rsid w:val="4C2E0DCB"/>
    <w:rsid w:val="4C641BFC"/>
    <w:rsid w:val="4C726569"/>
    <w:rsid w:val="4CB37C08"/>
    <w:rsid w:val="4CC874F6"/>
    <w:rsid w:val="4CD60537"/>
    <w:rsid w:val="4CDB1144"/>
    <w:rsid w:val="4D47054C"/>
    <w:rsid w:val="4D516231"/>
    <w:rsid w:val="4D6E4265"/>
    <w:rsid w:val="4D7E702B"/>
    <w:rsid w:val="4D94083B"/>
    <w:rsid w:val="4E4F369A"/>
    <w:rsid w:val="4E6A7538"/>
    <w:rsid w:val="4EDA6221"/>
    <w:rsid w:val="4F2E243F"/>
    <w:rsid w:val="4FDF2564"/>
    <w:rsid w:val="501523A2"/>
    <w:rsid w:val="504174FC"/>
    <w:rsid w:val="50571C9F"/>
    <w:rsid w:val="50AB003F"/>
    <w:rsid w:val="50CF4503"/>
    <w:rsid w:val="50D37C15"/>
    <w:rsid w:val="511D019F"/>
    <w:rsid w:val="511D18C9"/>
    <w:rsid w:val="51542C8D"/>
    <w:rsid w:val="516234FD"/>
    <w:rsid w:val="51656886"/>
    <w:rsid w:val="516A1B63"/>
    <w:rsid w:val="51B81737"/>
    <w:rsid w:val="51D77030"/>
    <w:rsid w:val="52353A0A"/>
    <w:rsid w:val="52D85750"/>
    <w:rsid w:val="52FB18C6"/>
    <w:rsid w:val="531072F0"/>
    <w:rsid w:val="53213E80"/>
    <w:rsid w:val="53FE3E0A"/>
    <w:rsid w:val="543142CF"/>
    <w:rsid w:val="55286E22"/>
    <w:rsid w:val="556E6581"/>
    <w:rsid w:val="5588677D"/>
    <w:rsid w:val="560317C0"/>
    <w:rsid w:val="560E14B9"/>
    <w:rsid w:val="561F720E"/>
    <w:rsid w:val="566F4A58"/>
    <w:rsid w:val="5712150D"/>
    <w:rsid w:val="57A3633F"/>
    <w:rsid w:val="57B27F05"/>
    <w:rsid w:val="57CF58DB"/>
    <w:rsid w:val="57DC33A7"/>
    <w:rsid w:val="58215343"/>
    <w:rsid w:val="584F10D8"/>
    <w:rsid w:val="5854171D"/>
    <w:rsid w:val="587561D1"/>
    <w:rsid w:val="58D01EBB"/>
    <w:rsid w:val="58F61D44"/>
    <w:rsid w:val="596B3D20"/>
    <w:rsid w:val="597D2244"/>
    <w:rsid w:val="59F3439B"/>
    <w:rsid w:val="5A0D30B4"/>
    <w:rsid w:val="5A2A3F59"/>
    <w:rsid w:val="5A483FF8"/>
    <w:rsid w:val="5B0C693A"/>
    <w:rsid w:val="5B1E3B4B"/>
    <w:rsid w:val="5B3429A4"/>
    <w:rsid w:val="5B7928AC"/>
    <w:rsid w:val="5B9C5C45"/>
    <w:rsid w:val="5C0C1983"/>
    <w:rsid w:val="5C146507"/>
    <w:rsid w:val="5C8556D4"/>
    <w:rsid w:val="5C9C6DF2"/>
    <w:rsid w:val="5C9D087A"/>
    <w:rsid w:val="5D1458EA"/>
    <w:rsid w:val="5D35760E"/>
    <w:rsid w:val="5D5840D6"/>
    <w:rsid w:val="5D8A2234"/>
    <w:rsid w:val="5DA37A9B"/>
    <w:rsid w:val="5DE96312"/>
    <w:rsid w:val="5E334000"/>
    <w:rsid w:val="5E69296F"/>
    <w:rsid w:val="5ED50225"/>
    <w:rsid w:val="5F1F0240"/>
    <w:rsid w:val="5F562BF3"/>
    <w:rsid w:val="60337CDC"/>
    <w:rsid w:val="603F5402"/>
    <w:rsid w:val="60603B12"/>
    <w:rsid w:val="60B0413F"/>
    <w:rsid w:val="60D818B2"/>
    <w:rsid w:val="614C422E"/>
    <w:rsid w:val="615A0A76"/>
    <w:rsid w:val="619135C2"/>
    <w:rsid w:val="621C7880"/>
    <w:rsid w:val="628A4E55"/>
    <w:rsid w:val="628E3E6F"/>
    <w:rsid w:val="6295412E"/>
    <w:rsid w:val="62D04AAA"/>
    <w:rsid w:val="63381C06"/>
    <w:rsid w:val="64037383"/>
    <w:rsid w:val="64126E1E"/>
    <w:rsid w:val="642E2243"/>
    <w:rsid w:val="6469630A"/>
    <w:rsid w:val="648B4CC0"/>
    <w:rsid w:val="64A2179B"/>
    <w:rsid w:val="654B7F44"/>
    <w:rsid w:val="65F77B57"/>
    <w:rsid w:val="65FF3AA9"/>
    <w:rsid w:val="660031E4"/>
    <w:rsid w:val="660F3D1F"/>
    <w:rsid w:val="66152ACA"/>
    <w:rsid w:val="663250C1"/>
    <w:rsid w:val="66BF5DFC"/>
    <w:rsid w:val="66EF5BAF"/>
    <w:rsid w:val="675A157F"/>
    <w:rsid w:val="677909F1"/>
    <w:rsid w:val="67F91D07"/>
    <w:rsid w:val="683F44C5"/>
    <w:rsid w:val="68B44D24"/>
    <w:rsid w:val="696D41C4"/>
    <w:rsid w:val="69BF1317"/>
    <w:rsid w:val="69ED05F9"/>
    <w:rsid w:val="6B263ACF"/>
    <w:rsid w:val="6B73602A"/>
    <w:rsid w:val="6B8B6CF1"/>
    <w:rsid w:val="6BDF6CC4"/>
    <w:rsid w:val="6C1660AA"/>
    <w:rsid w:val="6C234574"/>
    <w:rsid w:val="6C4142CA"/>
    <w:rsid w:val="6E231488"/>
    <w:rsid w:val="6E301B38"/>
    <w:rsid w:val="6E7E2016"/>
    <w:rsid w:val="6F0452B4"/>
    <w:rsid w:val="6F4C6B46"/>
    <w:rsid w:val="70905002"/>
    <w:rsid w:val="70BB7C71"/>
    <w:rsid w:val="717D0E42"/>
    <w:rsid w:val="719F75B5"/>
    <w:rsid w:val="71B400B8"/>
    <w:rsid w:val="71BF5D6D"/>
    <w:rsid w:val="72516F6C"/>
    <w:rsid w:val="72EF1566"/>
    <w:rsid w:val="73412F53"/>
    <w:rsid w:val="73437FCE"/>
    <w:rsid w:val="73B30FC6"/>
    <w:rsid w:val="74592D34"/>
    <w:rsid w:val="748443E4"/>
    <w:rsid w:val="74D77289"/>
    <w:rsid w:val="74F952E5"/>
    <w:rsid w:val="753F15A0"/>
    <w:rsid w:val="75483F2B"/>
    <w:rsid w:val="75A628C9"/>
    <w:rsid w:val="75B36462"/>
    <w:rsid w:val="76065B98"/>
    <w:rsid w:val="763F7413"/>
    <w:rsid w:val="76861D4C"/>
    <w:rsid w:val="76B27622"/>
    <w:rsid w:val="77740E18"/>
    <w:rsid w:val="780A371A"/>
    <w:rsid w:val="781101C0"/>
    <w:rsid w:val="7824373B"/>
    <w:rsid w:val="7831103D"/>
    <w:rsid w:val="784521A0"/>
    <w:rsid w:val="784F23C5"/>
    <w:rsid w:val="786755ED"/>
    <w:rsid w:val="788D1579"/>
    <w:rsid w:val="79156F08"/>
    <w:rsid w:val="79220BB1"/>
    <w:rsid w:val="79936676"/>
    <w:rsid w:val="79A52F07"/>
    <w:rsid w:val="7A6F2A3A"/>
    <w:rsid w:val="7A8A0B42"/>
    <w:rsid w:val="7B541151"/>
    <w:rsid w:val="7B851976"/>
    <w:rsid w:val="7B9A12F6"/>
    <w:rsid w:val="7BBB15F0"/>
    <w:rsid w:val="7BD4353D"/>
    <w:rsid w:val="7BE772BD"/>
    <w:rsid w:val="7C07A0F5"/>
    <w:rsid w:val="7C0E057E"/>
    <w:rsid w:val="7C5311B3"/>
    <w:rsid w:val="7CDB7433"/>
    <w:rsid w:val="7D0F22FE"/>
    <w:rsid w:val="7D460711"/>
    <w:rsid w:val="7D717185"/>
    <w:rsid w:val="7D7635FF"/>
    <w:rsid w:val="7D8111E0"/>
    <w:rsid w:val="7DB10E50"/>
    <w:rsid w:val="7E172803"/>
    <w:rsid w:val="7EC13FAE"/>
    <w:rsid w:val="7F152E80"/>
    <w:rsid w:val="7F207CC7"/>
    <w:rsid w:val="7F3D3C2E"/>
    <w:rsid w:val="7F770BAF"/>
    <w:rsid w:val="7FA92E56"/>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Times New Roman" w:cs="Times New Roman"/>
      <w:sz w:val="24"/>
      <w:szCs w:val="24"/>
      <w:lang w:val="en-GB" w:eastAsia="zh-CN" w:bidi="ar-SA"/>
    </w:rPr>
  </w:style>
  <w:style w:type="paragraph" w:styleId="2">
    <w:name w:val="heading 1"/>
    <w:basedOn w:val="1"/>
    <w:next w:val="1"/>
    <w:autoRedefine/>
    <w:qFormat/>
    <w:uiPriority w:val="9"/>
    <w:pPr>
      <w:spacing w:beforeAutospacing="1" w:afterAutospacing="1"/>
      <w:outlineLvl w:val="0"/>
    </w:pPr>
    <w:rPr>
      <w:rFonts w:hint="eastAsia" w:ascii="宋体" w:hAnsi="宋体" w:eastAsia="宋体"/>
      <w:b/>
      <w:bCs/>
      <w:kern w:val="36"/>
      <w:sz w:val="48"/>
      <w:szCs w:val="48"/>
      <w:lang w:val="en-US"/>
    </w:rPr>
  </w:style>
  <w:style w:type="paragraph" w:styleId="3">
    <w:name w:val="heading 2"/>
    <w:basedOn w:val="1"/>
    <w:next w:val="1"/>
    <w:unhideWhenUsed/>
    <w:qFormat/>
    <w:uiPriority w:val="9"/>
    <w:pPr>
      <w:keepNext/>
      <w:keepLines/>
      <w:spacing w:line="560" w:lineRule="exact"/>
      <w:outlineLvl w:val="1"/>
    </w:pPr>
    <w:rPr>
      <w:rFonts w:ascii="方正黑体简体" w:hAnsi="方正黑体简体" w:eastAsia="方正黑体简体"/>
      <w:sz w:val="32"/>
      <w:szCs w:val="22"/>
    </w:rPr>
  </w:style>
  <w:style w:type="paragraph" w:styleId="4">
    <w:name w:val="heading 3"/>
    <w:basedOn w:val="1"/>
    <w:next w:val="1"/>
    <w:link w:val="19"/>
    <w:unhideWhenUsed/>
    <w:qFormat/>
    <w:uiPriority w:val="9"/>
    <w:pPr>
      <w:keepNext/>
      <w:keepLines/>
      <w:numPr>
        <w:ilvl w:val="0"/>
        <w:numId w:val="1"/>
      </w:numPr>
      <w:tabs>
        <w:tab w:val="left" w:pos="0"/>
      </w:tabs>
      <w:spacing w:line="560" w:lineRule="exact"/>
      <w:outlineLvl w:val="2"/>
    </w:pPr>
    <w:rPr>
      <w:rFonts w:ascii="方正楷体简体" w:hAnsi="方正楷体简体" w:eastAsia="方正楷体简体"/>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5"/>
    <w:autoRedefine/>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6">
    <w:name w:val="header"/>
    <w:basedOn w:val="1"/>
    <w:link w:val="14"/>
    <w:autoRedefine/>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7">
    <w:name w:val="Normal (Web)"/>
    <w:basedOn w:val="1"/>
    <w:autoRedefine/>
    <w:unhideWhenUsed/>
    <w:qFormat/>
    <w:uiPriority w:val="99"/>
    <w:pPr>
      <w:spacing w:before="100" w:beforeAutospacing="1" w:after="100" w:afterAutospacing="1"/>
    </w:pPr>
    <w:rPr>
      <w:rFonts w:ascii="宋体" w:hAnsi="宋体" w:eastAsia="宋体" w:cs="宋体"/>
    </w:rPr>
  </w:style>
  <w:style w:type="character" w:styleId="10">
    <w:name w:val="Strong"/>
    <w:autoRedefine/>
    <w:qFormat/>
    <w:uiPriority w:val="22"/>
    <w:rPr>
      <w:b/>
      <w:bCs/>
    </w:rPr>
  </w:style>
  <w:style w:type="character" w:styleId="11">
    <w:name w:val="FollowedHyperlink"/>
    <w:basedOn w:val="9"/>
    <w:autoRedefine/>
    <w:semiHidden/>
    <w:unhideWhenUsed/>
    <w:qFormat/>
    <w:uiPriority w:val="99"/>
    <w:rPr>
      <w:color w:val="954F72" w:themeColor="followedHyperlink"/>
      <w:u w:val="single"/>
      <w14:textFill>
        <w14:solidFill>
          <w14:schemeClr w14:val="folHlink"/>
        </w14:solidFill>
      </w14:textFill>
    </w:rPr>
  </w:style>
  <w:style w:type="character" w:styleId="12">
    <w:name w:val="Emphasis"/>
    <w:basedOn w:val="9"/>
    <w:autoRedefine/>
    <w:qFormat/>
    <w:uiPriority w:val="20"/>
    <w:rPr>
      <w:i/>
      <w:iCs/>
    </w:rPr>
  </w:style>
  <w:style w:type="character" w:styleId="13">
    <w:name w:val="Hyperlink"/>
    <w:basedOn w:val="9"/>
    <w:unhideWhenUsed/>
    <w:qFormat/>
    <w:uiPriority w:val="99"/>
    <w:rPr>
      <w:color w:val="0563C1" w:themeColor="hyperlink"/>
      <w:u w:val="single"/>
      <w14:textFill>
        <w14:solidFill>
          <w14:schemeClr w14:val="hlink"/>
        </w14:solidFill>
      </w14:textFill>
    </w:rPr>
  </w:style>
  <w:style w:type="character" w:customStyle="1" w:styleId="14">
    <w:name w:val="页眉 字符"/>
    <w:basedOn w:val="9"/>
    <w:link w:val="6"/>
    <w:autoRedefine/>
    <w:qFormat/>
    <w:uiPriority w:val="99"/>
    <w:rPr>
      <w:sz w:val="18"/>
      <w:szCs w:val="18"/>
    </w:rPr>
  </w:style>
  <w:style w:type="character" w:customStyle="1" w:styleId="15">
    <w:name w:val="页脚 字符"/>
    <w:basedOn w:val="9"/>
    <w:link w:val="5"/>
    <w:autoRedefine/>
    <w:qFormat/>
    <w:uiPriority w:val="99"/>
    <w:rPr>
      <w:sz w:val="18"/>
      <w:szCs w:val="18"/>
    </w:rPr>
  </w:style>
  <w:style w:type="character" w:customStyle="1" w:styleId="16">
    <w:name w:val="未处理的提及1"/>
    <w:basedOn w:val="9"/>
    <w:autoRedefine/>
    <w:semiHidden/>
    <w:unhideWhenUsed/>
    <w:qFormat/>
    <w:uiPriority w:val="99"/>
    <w:rPr>
      <w:color w:val="605E5C"/>
      <w:shd w:val="clear" w:color="auto" w:fill="E1DFDD"/>
    </w:rPr>
  </w:style>
  <w:style w:type="paragraph" w:styleId="17">
    <w:name w:val="List Paragraph"/>
    <w:basedOn w:val="1"/>
    <w:autoRedefine/>
    <w:qFormat/>
    <w:uiPriority w:val="34"/>
    <w:pPr>
      <w:ind w:firstLine="420" w:firstLineChars="200"/>
    </w:pPr>
  </w:style>
  <w:style w:type="character" w:customStyle="1" w:styleId="18">
    <w:name w:val="未处理的提及2"/>
    <w:basedOn w:val="9"/>
    <w:autoRedefine/>
    <w:semiHidden/>
    <w:unhideWhenUsed/>
    <w:qFormat/>
    <w:uiPriority w:val="99"/>
    <w:rPr>
      <w:color w:val="605E5C"/>
      <w:shd w:val="clear" w:color="auto" w:fill="E1DFDD"/>
    </w:rPr>
  </w:style>
  <w:style w:type="character" w:customStyle="1" w:styleId="19">
    <w:name w:val="标题 3 字符"/>
    <w:link w:val="4"/>
    <w:autoRedefine/>
    <w:qFormat/>
    <w:uiPriority w:val="0"/>
    <w:rPr>
      <w:rFonts w:ascii="方正楷体简体" w:hAnsi="方正楷体简体" w:eastAsia="方正楷体简体"/>
      <w:sz w:val="32"/>
    </w:rPr>
  </w:style>
  <w:style w:type="table" w:customStyle="1" w:styleId="20">
    <w:name w:val="Table Normal"/>
    <w:autoRedefine/>
    <w:semiHidden/>
    <w:unhideWhenUsed/>
    <w:qFormat/>
    <w:uiPriority w:val="0"/>
    <w:tblPr>
      <w:tblCellMar>
        <w:top w:w="0" w:type="dxa"/>
        <w:left w:w="0" w:type="dxa"/>
        <w:bottom w:w="0" w:type="dxa"/>
        <w:right w:w="0" w:type="dxa"/>
      </w:tblCellMar>
    </w:tblPr>
  </w:style>
  <w:style w:type="character" w:customStyle="1" w:styleId="21">
    <w:name w:val="未处理的提及3"/>
    <w:basedOn w:val="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1923</Words>
  <Characters>2062</Characters>
  <Lines>15</Lines>
  <Paragraphs>4</Paragraphs>
  <TotalTime>0</TotalTime>
  <ScaleCrop>false</ScaleCrop>
  <LinksUpToDate>false</LinksUpToDate>
  <CharactersWithSpaces>2063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2024-03-31T01:31:00Z</dcterms:created>
  <dc:creator>张 斌</dc:creator>
  <cp:lastModifiedBy>金阳</cp:lastModifiedBy>
  <cp:lastPrinted>2023-02-10T11:47:00Z</cp:lastPrinted>
  <dcterms:modified xsi:type="dcterms:W3CDTF">2024-09-25T08:41:42Z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DBB8CCC3A3DD4FDDB648D02E25E866A2_13</vt:lpwstr>
  </property>
</Properties>
</file>