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DED1C">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题目1</w:t>
      </w:r>
      <w:r>
        <w:rPr>
          <w:rFonts w:ascii="Times New Roman" w:hAnsi="Times New Roman" w:eastAsia="仿宋_GB2312" w:cs="仿宋_GB2312"/>
          <w:b w:val="0"/>
          <w:bCs w:val="0"/>
          <w:color w:val="000000" w:themeColor="text1"/>
          <w:sz w:val="32"/>
          <w:szCs w:val="32"/>
          <w14:textFill>
            <w14:solidFill>
              <w14:schemeClr w14:val="tx1"/>
            </w14:solidFill>
          </w14:textFill>
        </w:rPr>
        <w:t>9：</w:t>
      </w:r>
    </w:p>
    <w:p w14:paraId="4FEE3771">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空间高性能计算单元在轨智能目标检测</w:t>
      </w: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p>
    <w:p w14:paraId="00D1D607">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0D0C7435">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（中国航天科技集团有限公司五院五</w:t>
      </w:r>
      <w:r>
        <w:rPr>
          <w:rFonts w:hint="eastAsia" w:eastAsia="微软雅黑" w:cs="微软雅黑"/>
          <w:color w:val="000000" w:themeColor="text1"/>
          <w:sz w:val="32"/>
          <w:szCs w:val="32"/>
          <w:lang w:val="en-US"/>
          <w14:textFill>
            <w14:solidFill>
              <w14:schemeClr w14:val="tx1"/>
            </w14:solidFill>
          </w14:textFill>
        </w:rPr>
        <w:t>〇</w:t>
      </w:r>
      <w:r>
        <w:rPr>
          <w:rFonts w:hint="eastAsia" w:eastAsia="楷体_GB2312" w:cs="楷体_GB2312"/>
          <w:color w:val="000000" w:themeColor="text1"/>
          <w:sz w:val="32"/>
          <w:szCs w:val="32"/>
          <w:lang w:val="en-US"/>
          <w14:textFill>
            <w14:solidFill>
              <w14:schemeClr w14:val="tx1"/>
            </w14:solidFill>
          </w14:textFill>
        </w:rPr>
        <w:t>二所）</w:t>
      </w:r>
    </w:p>
    <w:p w14:paraId="31D2C86F">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05610BBD">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0" w:name="_Hlk177807638"/>
      <w:r>
        <w:rPr>
          <w:rFonts w:hint="eastAsia" w:eastAsia="黑体" w:cs="黑体"/>
          <w:color w:val="000000" w:themeColor="text1"/>
          <w:sz w:val="32"/>
          <w:szCs w:val="22"/>
          <w:lang w:val="en-US"/>
          <w14:textFill>
            <w14:solidFill>
              <w14:schemeClr w14:val="tx1"/>
            </w14:solidFill>
          </w14:textFill>
        </w:rPr>
        <w:t>一、出题单位</w:t>
      </w:r>
    </w:p>
    <w:bookmarkEnd w:id="0"/>
    <w:p w14:paraId="45AACB4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中国航天科技集团有限公司五院五</w:t>
      </w:r>
      <w:r>
        <w:rPr>
          <w:rFonts w:hint="eastAsia" w:eastAsia="微软雅黑" w:cs="微软雅黑"/>
          <w:color w:val="000000" w:themeColor="text1"/>
          <w:sz w:val="32"/>
          <w:szCs w:val="32"/>
          <w:lang w:val="en-US"/>
          <w14:textFill>
            <w14:solidFill>
              <w14:schemeClr w14:val="tx1"/>
            </w14:solidFill>
          </w14:textFill>
        </w:rPr>
        <w:t>〇</w:t>
      </w:r>
      <w:r>
        <w:rPr>
          <w:rFonts w:hint="eastAsia" w:eastAsia="仿宋_GB2312" w:cs="仿宋_GB2312"/>
          <w:color w:val="000000" w:themeColor="text1"/>
          <w:sz w:val="32"/>
          <w:szCs w:val="32"/>
          <w:lang w:val="en-US"/>
          <w14:textFill>
            <w14:solidFill>
              <w14:schemeClr w14:val="tx1"/>
            </w14:solidFill>
          </w14:textFill>
        </w:rPr>
        <w:t>二所</w:t>
      </w:r>
    </w:p>
    <w:p w14:paraId="44457CC5">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二、</w:t>
      </w:r>
      <w:r>
        <w:rPr>
          <w:rFonts w:eastAsia="黑体" w:cs="黑体"/>
          <w:color w:val="000000" w:themeColor="text1"/>
          <w:sz w:val="32"/>
          <w:szCs w:val="22"/>
          <w:lang w:val="en-US"/>
          <w14:textFill>
            <w14:solidFill>
              <w14:schemeClr w14:val="tx1"/>
            </w14:solidFill>
          </w14:textFill>
        </w:rPr>
        <w:t>题目名称</w:t>
      </w:r>
    </w:p>
    <w:p w14:paraId="38D075D2">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空间高性能计算单元在轨智能目标检测</w:t>
      </w:r>
    </w:p>
    <w:p w14:paraId="3044D47A">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三、</w:t>
      </w:r>
      <w:r>
        <w:rPr>
          <w:rFonts w:eastAsia="黑体" w:cs="黑体"/>
          <w:color w:val="000000" w:themeColor="text1"/>
          <w:sz w:val="32"/>
          <w:szCs w:val="22"/>
          <w:lang w:val="en-US"/>
          <w14:textFill>
            <w14:solidFill>
              <w14:schemeClr w14:val="tx1"/>
            </w14:solidFill>
          </w14:textFill>
        </w:rPr>
        <w:t>题目介绍</w:t>
      </w:r>
    </w:p>
    <w:p w14:paraId="5B982855">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现有热点目标检测以地面处理模式为主，在有限资源下高效实时处理能力受限，未来遥感处理服务应用场景更加复杂多样</w:t>
      </w:r>
      <w:r>
        <w:rPr>
          <w:rFonts w:hint="eastAsia" w:eastAsia="仿宋_GB2312" w:cs="仿宋_GB2312"/>
          <w:color w:val="000000" w:themeColor="text1"/>
          <w:sz w:val="32"/>
          <w:szCs w:val="32"/>
          <w:lang w:val="en-US"/>
          <w14:textFill>
            <w14:solidFill>
              <w14:schemeClr w14:val="tx1"/>
            </w14:solidFill>
          </w14:textFill>
        </w:rPr>
        <w:t>，对</w:t>
      </w:r>
      <w:r>
        <w:rPr>
          <w:rFonts w:eastAsia="仿宋_GB2312" w:cs="仿宋_GB2312"/>
          <w:color w:val="000000" w:themeColor="text1"/>
          <w:sz w:val="32"/>
          <w:szCs w:val="32"/>
          <w:lang w:val="en-US"/>
          <w14:textFill>
            <w14:solidFill>
              <w14:schemeClr w14:val="tx1"/>
            </w14:solidFill>
          </w14:textFill>
        </w:rPr>
        <w:t>任务效能要求更高，迫切需要提升处理服务的时效性和智能化水平，实现热点目标检测的在轨处理。空间高性能计算单元运行在远离地球的太空环境中，具有资源有限、功耗要求严苛、空间粒子辐射等显著特点，面临目标检测困难、时效性差和鲁棒性差等突出问题。</w:t>
      </w:r>
    </w:p>
    <w:p w14:paraId="775020D0">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因此，</w:t>
      </w:r>
      <w:r>
        <w:rPr>
          <w:rFonts w:hint="eastAsia" w:eastAsia="仿宋_GB2312" w:cs="仿宋_GB2312"/>
          <w:color w:val="000000" w:themeColor="text1"/>
          <w:sz w:val="32"/>
          <w:szCs w:val="32"/>
          <w:lang w:val="en-US"/>
          <w14:textFill>
            <w14:solidFill>
              <w14:schemeClr w14:val="tx1"/>
            </w14:solidFill>
          </w14:textFill>
        </w:rPr>
        <w:t>本题目针对星上资源有限、热点目标检测有效性差、时效性低的问题</w:t>
      </w:r>
      <w:r>
        <w:rPr>
          <w:rFonts w:eastAsia="仿宋_GB2312" w:cs="仿宋_GB2312"/>
          <w:color w:val="000000" w:themeColor="text1"/>
          <w:sz w:val="32"/>
          <w:szCs w:val="32"/>
          <w:lang w:val="en-US"/>
          <w14:textFill>
            <w14:solidFill>
              <w14:schemeClr w14:val="tx1"/>
            </w14:solidFill>
          </w14:textFill>
        </w:rPr>
        <w:t>，以空间高性能计算单元为运行平台，在资源有限、功耗受限的条件下，利用包括但不局限</w:t>
      </w:r>
      <w:r>
        <w:rPr>
          <w:rFonts w:hint="eastAsia" w:eastAsia="仿宋_GB2312" w:cs="仿宋_GB2312"/>
          <w:color w:val="000000" w:themeColor="text1"/>
          <w:sz w:val="32"/>
          <w:szCs w:val="32"/>
          <w:lang w:val="en-US"/>
          <w14:textFill>
            <w14:solidFill>
              <w14:schemeClr w14:val="tx1"/>
            </w14:solidFill>
          </w14:textFill>
        </w:rPr>
        <w:t>于</w:t>
      </w:r>
      <w:r>
        <w:rPr>
          <w:rFonts w:eastAsia="仿宋_GB2312" w:cs="仿宋_GB2312"/>
          <w:color w:val="000000" w:themeColor="text1"/>
          <w:sz w:val="32"/>
          <w:szCs w:val="32"/>
          <w:lang w:val="en-US"/>
          <w14:textFill>
            <w14:solidFill>
              <w14:schemeClr w14:val="tx1"/>
            </w14:solidFill>
          </w14:textFill>
        </w:rPr>
        <w:t>模型剪枝、量化、知识蒸馏等在内的模型轻量化方法和模型优化加速策略</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设计智能目标检测算法，完成在轨工程化部署，解决地面处理算法在资源受限情况下检测精度低、处理时效性差的问题，期望在更低的时延内，发现尽可能多的目标，并准确标注目标位置，在保证模型精度的前提下，提高模型推理速度。</w:t>
      </w:r>
    </w:p>
    <w:p w14:paraId="1616718F">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1" w:name="_Hlk177808698"/>
      <w:r>
        <w:rPr>
          <w:rFonts w:hint="eastAsia" w:eastAsia="黑体" w:cs="黑体"/>
          <w:color w:val="000000" w:themeColor="text1"/>
          <w:sz w:val="32"/>
          <w:szCs w:val="22"/>
          <w:lang w:val="en-US"/>
          <w14:textFill>
            <w14:solidFill>
              <w14:schemeClr w14:val="tx1"/>
            </w14:solidFill>
          </w14:textFill>
        </w:rPr>
        <w:t>四、参赛对象</w:t>
      </w:r>
    </w:p>
    <w:p w14:paraId="760F3577">
      <w:pPr>
        <w:spacing w:line="560" w:lineRule="exact"/>
        <w:ind w:firstLine="640" w:firstLineChars="200"/>
        <w:rPr>
          <w:rFonts w:eastAsia="仿宋_GB2312" w:cs="仿宋_GB2312"/>
          <w:sz w:val="32"/>
          <w:szCs w:val="32"/>
          <w:lang w:val="en-US"/>
        </w:rPr>
      </w:pPr>
      <w:bookmarkStart w:id="2" w:name="_Hlk177807919"/>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4083111D">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7F345B2D">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169ABECB">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49962585">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1"/>
    <w:bookmarkEnd w:id="2"/>
    <w:p w14:paraId="7780EA28">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w:t>
      </w:r>
      <w:r>
        <w:rPr>
          <w:rFonts w:ascii="Times New Roman" w:hAnsi="Times New Roman" w:eastAsia="黑体" w:cs="黑体"/>
          <w:color w:val="000000" w:themeColor="text1"/>
          <w:lang w:val="en-US"/>
          <w14:textFill>
            <w14:solidFill>
              <w14:schemeClr w14:val="tx1"/>
            </w14:solidFill>
          </w14:textFill>
        </w:rPr>
        <w:t>答题要求</w:t>
      </w:r>
    </w:p>
    <w:p w14:paraId="27A3F8CB">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比赛分为初审和终审</w:t>
      </w:r>
      <w:r>
        <w:rPr>
          <w:rFonts w:hint="eastAsia" w:eastAsia="仿宋_GB2312" w:cs="仿宋_GB2312"/>
          <w:color w:val="000000" w:themeColor="text1"/>
          <w:sz w:val="32"/>
          <w:szCs w:val="32"/>
          <w:lang w:val="en-US"/>
          <w14:textFill>
            <w14:solidFill>
              <w14:schemeClr w14:val="tx1"/>
            </w14:solidFill>
          </w14:textFill>
        </w:rPr>
        <w:t>（含擂台赛）</w:t>
      </w:r>
      <w:r>
        <w:rPr>
          <w:rFonts w:eastAsia="仿宋_GB2312" w:cs="仿宋_GB2312"/>
          <w:color w:val="000000" w:themeColor="text1"/>
          <w:sz w:val="32"/>
          <w:szCs w:val="32"/>
          <w:lang w:val="en-US"/>
          <w14:textFill>
            <w14:solidFill>
              <w14:schemeClr w14:val="tx1"/>
            </w14:solidFill>
          </w14:textFill>
        </w:rPr>
        <w:t>两个阶段，初审不限定报名人数，通过初审筛选的队伍可进入终审。初审采用公开数据集DOTA，终审采用主办方提供的数据集。</w:t>
      </w:r>
    </w:p>
    <w:p w14:paraId="588C4BC0">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初审阶段题目要求</w:t>
      </w:r>
    </w:p>
    <w:p w14:paraId="1942F3F2">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（1）题目介绍：</w:t>
      </w:r>
    </w:p>
    <w:p w14:paraId="389553AC">
      <w:pPr>
        <w:numPr>
          <w:ilvl w:val="255"/>
          <w:numId w:val="0"/>
        </w:numPr>
        <w:spacing w:line="560" w:lineRule="exact"/>
        <w:ind w:firstLine="640" w:firstLineChars="200"/>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参赛队伍首先完成在DOTA数据集（</w:t>
      </w:r>
      <w:r>
        <w:fldChar w:fldCharType="begin"/>
      </w:r>
      <w:r>
        <w:instrText xml:space="preserve"> HYPERLINK "https://captain-whu.github.io/DOTA/tasks.html" </w:instrText>
      </w:r>
      <w:r>
        <w:fldChar w:fldCharType="separate"/>
      </w:r>
      <w:r>
        <w:rPr>
          <w:rFonts w:eastAsia="仿宋_GB2312" w:cs="仿宋_GB2312"/>
          <w:color w:val="000000" w:themeColor="text1"/>
          <w:sz w:val="32"/>
          <w:szCs w:val="32"/>
          <w14:textFill>
            <w14:solidFill>
              <w14:schemeClr w14:val="tx1"/>
            </w14:solidFill>
          </w14:textFill>
        </w:rPr>
        <w:t>https://captain-whu.github.io/DOTA/tasks.html</w:t>
      </w:r>
      <w:r>
        <w:rPr>
          <w:rFonts w:eastAsia="仿宋_GB2312" w:cs="仿宋_GB2312"/>
          <w:color w:val="000000" w:themeColor="text1"/>
          <w:sz w:val="32"/>
          <w:szCs w:val="32"/>
          <w14:textFill>
            <w14:solidFill>
              <w14:schemeClr w14:val="tx1"/>
            </w14:solidFill>
          </w14:textFill>
        </w:rPr>
        <w:fldChar w:fldCharType="end"/>
      </w:r>
      <w:r>
        <w:rPr>
          <w:rFonts w:eastAsia="仿宋_GB2312" w:cs="仿宋_GB2312"/>
          <w:color w:val="000000" w:themeColor="text1"/>
          <w:sz w:val="32"/>
          <w:szCs w:val="32"/>
          <w:lang w:val="en-US"/>
          <w14:textFill>
            <w14:solidFill>
              <w14:schemeClr w14:val="tx1"/>
            </w14:solidFill>
          </w14:textFill>
        </w:rPr>
        <w:t>）的Task1任务，并利用DOTA官方指定测评方式进行在线测评，将作品相关文档材料、源代码和模型文件以压缩包格式邮件发送到主办方邮箱（tzbjbgs502@163.com），并标注好队伍名称信息。</w:t>
      </w:r>
    </w:p>
    <w:p w14:paraId="53B7AF45">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（2）作品形式：</w:t>
      </w:r>
    </w:p>
    <w:p w14:paraId="48CBD656">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1）文档材料：按照主办方提供的</w:t>
      </w:r>
      <w:r>
        <w:rPr>
          <w:rFonts w:hint="eastAsia" w:eastAsia="仿宋_GB2312" w:cs="仿宋_GB2312"/>
          <w:color w:val="000000" w:themeColor="text1"/>
          <w:sz w:val="32"/>
          <w:szCs w:val="32"/>
          <w:lang w:val="en-US"/>
          <w14:textFill>
            <w14:solidFill>
              <w14:schemeClr w14:val="tx1"/>
            </w14:solidFill>
          </w14:textFill>
        </w:rPr>
        <w:t>文档</w:t>
      </w:r>
      <w:r>
        <w:rPr>
          <w:rFonts w:eastAsia="仿宋_GB2312" w:cs="仿宋_GB2312"/>
          <w:color w:val="000000" w:themeColor="text1"/>
          <w:sz w:val="32"/>
          <w:szCs w:val="32"/>
          <w:lang w:val="en-US"/>
          <w14:textFill>
            <w14:solidFill>
              <w14:schemeClr w14:val="tx1"/>
            </w14:solidFill>
          </w14:textFill>
        </w:rPr>
        <w:t>模板</w:t>
      </w:r>
      <w:r>
        <w:rPr>
          <w:rFonts w:hint="eastAsia" w:eastAsia="仿宋_GB2312" w:cs="仿宋_GB2312"/>
          <w:color w:val="000000" w:themeColor="text1"/>
          <w:sz w:val="32"/>
          <w:szCs w:val="32"/>
          <w:lang w:val="en-US"/>
          <w14:textFill>
            <w14:solidFill>
              <w14:schemeClr w14:val="tx1"/>
            </w14:solidFill>
          </w14:textFill>
        </w:rPr>
        <w:t>和排版</w:t>
      </w:r>
      <w:r>
        <w:rPr>
          <w:rFonts w:eastAsia="仿宋_GB2312" w:cs="仿宋_GB2312"/>
          <w:color w:val="000000" w:themeColor="text1"/>
          <w:sz w:val="32"/>
          <w:szCs w:val="32"/>
          <w:lang w:val="en-US"/>
          <w14:textFill>
            <w14:solidFill>
              <w14:schemeClr w14:val="tx1"/>
            </w14:solidFill>
          </w14:textFill>
        </w:rPr>
        <w:t>格式</w:t>
      </w:r>
      <w:r>
        <w:rPr>
          <w:rFonts w:hint="eastAsia" w:eastAsia="仿宋_GB2312" w:cs="仿宋_GB2312"/>
          <w:color w:val="000000" w:themeColor="text1"/>
          <w:sz w:val="32"/>
          <w:szCs w:val="32"/>
          <w:lang w:val="en-US"/>
          <w14:textFill>
            <w14:solidFill>
              <w14:schemeClr w14:val="tx1"/>
            </w14:solidFill>
          </w14:textFill>
        </w:rPr>
        <w:t>（见附2）</w:t>
      </w:r>
      <w:r>
        <w:rPr>
          <w:rFonts w:eastAsia="仿宋_GB2312" w:cs="仿宋_GB2312"/>
          <w:color w:val="000000" w:themeColor="text1"/>
          <w:sz w:val="32"/>
          <w:szCs w:val="32"/>
          <w:lang w:val="en-US"/>
          <w14:textFill>
            <w14:solidFill>
              <w14:schemeClr w14:val="tx1"/>
            </w14:solidFill>
          </w14:textFill>
        </w:rPr>
        <w:t>编写算法设计</w:t>
      </w:r>
      <w:r>
        <w:rPr>
          <w:rFonts w:hint="eastAsia" w:eastAsia="仿宋_GB2312" w:cs="仿宋_GB2312"/>
          <w:color w:val="000000" w:themeColor="text1"/>
          <w:sz w:val="32"/>
          <w:szCs w:val="32"/>
          <w:lang w:val="en-US"/>
          <w14:textFill>
            <w14:solidFill>
              <w14:schemeClr w14:val="tx1"/>
            </w14:solidFill>
          </w14:textFill>
        </w:rPr>
        <w:t>方案</w:t>
      </w:r>
      <w:r>
        <w:rPr>
          <w:rFonts w:eastAsia="仿宋_GB2312" w:cs="仿宋_GB2312"/>
          <w:color w:val="000000" w:themeColor="text1"/>
          <w:sz w:val="32"/>
          <w:szCs w:val="32"/>
          <w:lang w:val="en-US"/>
          <w14:textFill>
            <w14:solidFill>
              <w14:schemeClr w14:val="tx1"/>
            </w14:solidFill>
          </w14:textFill>
        </w:rPr>
        <w:t>报告</w:t>
      </w:r>
      <w:r>
        <w:rPr>
          <w:rFonts w:hint="eastAsia" w:eastAsia="仿宋_GB2312" w:cs="仿宋_GB2312"/>
          <w:color w:val="000000" w:themeColor="text1"/>
          <w:sz w:val="32"/>
          <w:szCs w:val="32"/>
          <w:lang w:val="en-US"/>
          <w14:textFill>
            <w14:solidFill>
              <w14:schemeClr w14:val="tx1"/>
            </w14:solidFill>
          </w14:textFill>
        </w:rPr>
        <w:t>和测试报告</w:t>
      </w:r>
      <w:r>
        <w:rPr>
          <w:rFonts w:eastAsia="仿宋_GB2312" w:cs="仿宋_GB2312"/>
          <w:color w:val="000000" w:themeColor="text1"/>
          <w:sz w:val="32"/>
          <w:szCs w:val="32"/>
          <w:lang w:val="en-US"/>
          <w14:textFill>
            <w14:solidFill>
              <w14:schemeClr w14:val="tx1"/>
            </w14:solidFill>
          </w14:textFill>
        </w:rPr>
        <w:t>，篇幅不限，内容包括但不限于目标检测识别算法方案设计、算法程序说明、仿真结果、测评结果等；</w:t>
      </w:r>
    </w:p>
    <w:p w14:paraId="4EEA8D23">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2）源代码和模型文件：包含训练和推理源代码、推理用的模型文件；</w:t>
      </w:r>
    </w:p>
    <w:p w14:paraId="17356723">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3）初审评审将采用盲评机制，除参赛报名表外，各参赛组提交的文档、源代码和模型文件不得携带任何参赛学校、老师和学生的个人信息。</w:t>
      </w:r>
    </w:p>
    <w:p w14:paraId="76C26102">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终审阶段题目要求</w:t>
      </w:r>
    </w:p>
    <w:p w14:paraId="1A108BE1">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（1）题目介绍：</w:t>
      </w:r>
    </w:p>
    <w:p w14:paraId="07D2FDD9">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参赛队伍需基于主办方指定的智能硬件平台完成模型开发与部署测试（模型不要求与初审一致），完成现场功能和性能指标测试后，参加现场答辩，经专家现场评审最终确定成绩排名。</w:t>
      </w:r>
    </w:p>
    <w:p w14:paraId="44612FC5">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（2）作品形式：</w:t>
      </w:r>
    </w:p>
    <w:p w14:paraId="5F726C69">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1）文档材料：参赛者提供具体的功能设计和算法设计文档，并对功能设计合理性开展评估。包括：</w:t>
      </w:r>
    </w:p>
    <w:p w14:paraId="43B5DBCD">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宋体" w:cs="宋体"/>
          <w:color w:val="000000" w:themeColor="text1"/>
          <w:sz w:val="32"/>
          <w:szCs w:val="32"/>
          <w:lang w:val="en-US"/>
          <w14:textFill>
            <w14:solidFill>
              <w14:schemeClr w14:val="tx1"/>
            </w14:solidFill>
          </w14:textFill>
        </w:rPr>
        <w:t>①</w:t>
      </w:r>
      <w:r>
        <w:rPr>
          <w:rFonts w:eastAsia="仿宋_GB2312" w:cs="仿宋_GB2312"/>
          <w:color w:val="000000" w:themeColor="text1"/>
          <w:sz w:val="32"/>
          <w:szCs w:val="32"/>
          <w:lang w:val="en-US"/>
          <w14:textFill>
            <w14:solidFill>
              <w14:schemeClr w14:val="tx1"/>
            </w14:solidFill>
          </w14:textFill>
        </w:rPr>
        <w:t>技术设计方案，功能、指标、实现原理、软件流程等；</w:t>
      </w:r>
    </w:p>
    <w:p w14:paraId="32BE1147">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宋体" w:cs="宋体"/>
          <w:color w:val="000000" w:themeColor="text1"/>
          <w:sz w:val="32"/>
          <w:szCs w:val="32"/>
          <w:lang w:val="en-US"/>
          <w14:textFill>
            <w14:solidFill>
              <w14:schemeClr w14:val="tx1"/>
            </w14:solidFill>
          </w14:textFill>
        </w:rPr>
        <w:t>②</w:t>
      </w:r>
      <w:r>
        <w:rPr>
          <w:rFonts w:eastAsia="仿宋_GB2312" w:cs="仿宋_GB2312"/>
          <w:color w:val="000000" w:themeColor="text1"/>
          <w:sz w:val="32"/>
          <w:szCs w:val="32"/>
          <w:lang w:val="en-US"/>
          <w14:textFill>
            <w14:solidFill>
              <w14:schemeClr w14:val="tx1"/>
            </w14:solidFill>
          </w14:textFill>
        </w:rPr>
        <w:t>测试验证方案，测试数据、结果分析、实现功能、特性等；</w:t>
      </w:r>
    </w:p>
    <w:p w14:paraId="40A9A769">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宋体" w:cs="宋体"/>
          <w:color w:val="000000" w:themeColor="text1"/>
          <w:sz w:val="32"/>
          <w:szCs w:val="32"/>
          <w:lang w:val="en-US"/>
          <w14:textFill>
            <w14:solidFill>
              <w14:schemeClr w14:val="tx1"/>
            </w14:solidFill>
          </w14:textFill>
        </w:rPr>
        <w:t>③</w:t>
      </w:r>
      <w:r>
        <w:rPr>
          <w:rFonts w:eastAsia="仿宋_GB2312" w:cs="仿宋_GB2312"/>
          <w:color w:val="000000" w:themeColor="text1"/>
          <w:sz w:val="32"/>
          <w:szCs w:val="32"/>
          <w:lang w:val="en-US"/>
          <w14:textFill>
            <w14:solidFill>
              <w14:schemeClr w14:val="tx1"/>
            </w14:solidFill>
          </w14:textFill>
        </w:rPr>
        <w:t>算法部署说明；</w:t>
      </w:r>
    </w:p>
    <w:p w14:paraId="47884016">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宋体" w:cs="宋体"/>
          <w:color w:val="000000" w:themeColor="text1"/>
          <w:sz w:val="32"/>
          <w:szCs w:val="32"/>
          <w:lang w:val="en-US"/>
          <w14:textFill>
            <w14:solidFill>
              <w14:schemeClr w14:val="tx1"/>
            </w14:solidFill>
          </w14:textFill>
        </w:rPr>
        <w:t>④</w:t>
      </w:r>
      <w:r>
        <w:rPr>
          <w:rFonts w:eastAsia="仿宋_GB2312" w:cs="仿宋_GB2312"/>
          <w:color w:val="000000" w:themeColor="text1"/>
          <w:sz w:val="32"/>
          <w:szCs w:val="32"/>
          <w:lang w:val="en-US"/>
          <w14:textFill>
            <w14:solidFill>
              <w14:schemeClr w14:val="tx1"/>
            </w14:solidFill>
          </w14:textFill>
        </w:rPr>
        <w:t>其他，除上述规定文档以外的其他作品相关资料。</w:t>
      </w:r>
    </w:p>
    <w:p w14:paraId="510F56C5">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2）源代码及文件：包括目标检测训练</w:t>
      </w:r>
      <w:r>
        <w:rPr>
          <w:rFonts w:hint="eastAsia" w:eastAsia="仿宋_GB2312" w:cs="仿宋_GB2312"/>
          <w:color w:val="000000" w:themeColor="text1"/>
          <w:sz w:val="32"/>
          <w:szCs w:val="32"/>
          <w:lang w:val="en-US"/>
          <w14:textFill>
            <w14:solidFill>
              <w14:schemeClr w14:val="tx1"/>
            </w14:solidFill>
          </w14:textFill>
        </w:rPr>
        <w:t>与</w:t>
      </w:r>
      <w:r>
        <w:rPr>
          <w:rFonts w:eastAsia="仿宋_GB2312" w:cs="仿宋_GB2312"/>
          <w:color w:val="000000" w:themeColor="text1"/>
          <w:sz w:val="32"/>
          <w:szCs w:val="32"/>
          <w:lang w:val="en-US"/>
          <w14:textFill>
            <w14:solidFill>
              <w14:schemeClr w14:val="tx1"/>
            </w14:solidFill>
          </w14:textFill>
        </w:rPr>
        <w:t>测试源代码、模型参数文件、软件环境依赖库、代码使用说明。</w:t>
      </w:r>
    </w:p>
    <w:p w14:paraId="5480A80B">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参赛者必须保证作品的原创性，杜绝一切抄袭或剽窃他人成果的作品参赛，参赛者应严格遵守国家有关知识产权保护的规定，不得侵犯任何第三方的知识产权或其他权力，如引发的知识产权纠纷，责任由参赛者自负。</w:t>
      </w:r>
    </w:p>
    <w:p w14:paraId="66BB9E16">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（4）参赛作品提交的材料原则上不予退还，请参赛者自行保存底稿。参赛作品已获得国际竞赛、国家级奖励和其他全国性竞赛获奖作品的，不在申报作品范围之列。</w:t>
      </w:r>
    </w:p>
    <w:p w14:paraId="46ACA801">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w:t>
      </w:r>
      <w:r>
        <w:rPr>
          <w:rFonts w:ascii="Times New Roman" w:hAnsi="Times New Roman" w:eastAsia="黑体" w:cs="黑体"/>
          <w:color w:val="000000" w:themeColor="text1"/>
          <w:lang w:val="en-US"/>
          <w14:textFill>
            <w14:solidFill>
              <w14:schemeClr w14:val="tx1"/>
            </w14:solidFill>
          </w14:textFill>
        </w:rPr>
        <w:t>作品评选</w:t>
      </w:r>
      <w:r>
        <w:rPr>
          <w:rFonts w:hint="eastAsia" w:ascii="Times New Roman" w:hAnsi="Times New Roman" w:eastAsia="黑体" w:cs="黑体"/>
          <w:color w:val="000000" w:themeColor="text1"/>
          <w:lang w:val="en-US"/>
          <w14:textFill>
            <w14:solidFill>
              <w14:schemeClr w14:val="tx1"/>
            </w14:solidFill>
          </w14:textFill>
        </w:rPr>
        <w:t>参考</w:t>
      </w:r>
      <w:r>
        <w:rPr>
          <w:rFonts w:ascii="Times New Roman" w:hAnsi="Times New Roman" w:eastAsia="黑体" w:cs="黑体"/>
          <w:color w:val="000000" w:themeColor="text1"/>
          <w:lang w:val="en-US"/>
          <w14:textFill>
            <w14:solidFill>
              <w14:schemeClr w14:val="tx1"/>
            </w14:solidFill>
          </w14:textFill>
        </w:rPr>
        <w:t>标准</w:t>
      </w:r>
    </w:p>
    <w:p w14:paraId="68B60B6C">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以100分制进行打分，根据分数决定团体奖名次。初审和终审阶段</w:t>
      </w:r>
      <w:r>
        <w:rPr>
          <w:rFonts w:hint="eastAsia" w:ascii="Times New Roman" w:hAnsi="Times New Roman" w:eastAsia="仿宋_GB2312" w:cs="仿宋_GB2312"/>
          <w:color w:val="000000"/>
          <w:sz w:val="32"/>
          <w:szCs w:val="32"/>
        </w:rPr>
        <w:t>暂定评分标准如下：</w:t>
      </w:r>
    </w:p>
    <w:p w14:paraId="2AE11F01">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1.初</w:t>
      </w:r>
      <w:r>
        <w:rPr>
          <w:rFonts w:hint="eastAsia" w:ascii="Times New Roman" w:hAnsi="Times New Roman" w:eastAsia="仿宋_GB2312" w:cs="仿宋_GB2312"/>
          <w:color w:val="000000"/>
          <w:sz w:val="32"/>
          <w:szCs w:val="32"/>
        </w:rPr>
        <w:t>审</w:t>
      </w:r>
      <w:r>
        <w:rPr>
          <w:rFonts w:ascii="Times New Roman" w:hAnsi="Times New Roman" w:eastAsia="仿宋_GB2312" w:cs="仿宋_GB2312"/>
          <w:color w:val="000000"/>
          <w:sz w:val="32"/>
          <w:szCs w:val="32"/>
        </w:rPr>
        <w:t>：评审按照下述内容，以100分制进行打分，给出各参赛作品分数，根据分数决定</w:t>
      </w:r>
      <w:r>
        <w:rPr>
          <w:rFonts w:hint="eastAsia" w:ascii="Times New Roman" w:hAnsi="Times New Roman" w:eastAsia="仿宋_GB2312" w:cs="仿宋_GB2312"/>
          <w:color w:val="000000"/>
          <w:sz w:val="32"/>
          <w:szCs w:val="32"/>
        </w:rPr>
        <w:t>参加终审比赛</w:t>
      </w:r>
      <w:r>
        <w:rPr>
          <w:rFonts w:ascii="Times New Roman" w:hAnsi="Times New Roman" w:eastAsia="仿宋_GB2312" w:cs="仿宋_GB2312"/>
          <w:color w:val="000000"/>
          <w:sz w:val="32"/>
          <w:szCs w:val="32"/>
        </w:rPr>
        <w:t>的参赛</w:t>
      </w:r>
      <w:r>
        <w:rPr>
          <w:rFonts w:hint="eastAsia" w:ascii="Times New Roman" w:hAnsi="Times New Roman" w:eastAsia="仿宋_GB2312" w:cs="仿宋_GB2312"/>
          <w:color w:val="000000"/>
          <w:sz w:val="32"/>
          <w:szCs w:val="32"/>
        </w:rPr>
        <w:t>队伍</w:t>
      </w:r>
      <w:r>
        <w:rPr>
          <w:rFonts w:ascii="Times New Roman" w:hAnsi="Times New Roman" w:eastAsia="仿宋_GB2312" w:cs="仿宋_GB2312"/>
          <w:color w:val="000000"/>
          <w:sz w:val="32"/>
          <w:szCs w:val="32"/>
        </w:rPr>
        <w:t>。</w:t>
      </w:r>
    </w:p>
    <w:p w14:paraId="196F2B01">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（1）算法性能，以网站在线测评结果为依据（60分）</w:t>
      </w:r>
    </w:p>
    <w:p w14:paraId="58D17D55">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（2）算法设计报告文档（20分）</w:t>
      </w:r>
    </w:p>
    <w:p w14:paraId="77C21A04">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（3）代码可读性（20分）</w:t>
      </w:r>
    </w:p>
    <w:p w14:paraId="6C6CFA1F">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2.</w:t>
      </w:r>
      <w:r>
        <w:rPr>
          <w:rFonts w:hint="eastAsia" w:ascii="Times New Roman" w:hAnsi="Times New Roman" w:eastAsia="仿宋_GB2312" w:cs="仿宋_GB2312"/>
          <w:color w:val="000000"/>
          <w:sz w:val="32"/>
          <w:szCs w:val="32"/>
        </w:rPr>
        <w:t>终审</w:t>
      </w:r>
      <w:r>
        <w:rPr>
          <w:rFonts w:ascii="Times New Roman" w:hAnsi="Times New Roman" w:eastAsia="仿宋_GB2312" w:cs="仿宋_GB2312"/>
          <w:color w:val="000000"/>
          <w:sz w:val="32"/>
          <w:szCs w:val="32"/>
        </w:rPr>
        <w:t>：评审按照下述内容，以100分制进行打分，给出各参赛作品分数，根据分数决定参赛</w:t>
      </w:r>
      <w:r>
        <w:rPr>
          <w:rFonts w:hint="eastAsia" w:ascii="Times New Roman" w:hAnsi="Times New Roman" w:eastAsia="仿宋_GB2312" w:cs="仿宋_GB2312"/>
          <w:color w:val="000000"/>
          <w:sz w:val="32"/>
          <w:szCs w:val="32"/>
        </w:rPr>
        <w:t>队伍的排名和参加“擂台赛”的参赛队伍</w:t>
      </w:r>
      <w:r>
        <w:rPr>
          <w:rFonts w:ascii="Times New Roman" w:hAnsi="Times New Roman" w:eastAsia="仿宋_GB2312" w:cs="仿宋_GB2312"/>
          <w:color w:val="000000"/>
          <w:sz w:val="32"/>
          <w:szCs w:val="32"/>
        </w:rPr>
        <w:t>。</w:t>
      </w:r>
    </w:p>
    <w:p w14:paraId="2BC45C0B">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（1）作品完整性（10分）</w:t>
      </w:r>
    </w:p>
    <w:p w14:paraId="270BD150">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能在项目组指定的硬件平台成功完成模型开发与部署测试，跑出测试结果，为10分；如未完成，不得分。</w:t>
      </w:r>
    </w:p>
    <w:p w14:paraId="0B69B033">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（2）算法性能（70分）</w:t>
      </w:r>
    </w:p>
    <w:p w14:paraId="7099489A">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目标检测精度MAP（30分）、算法推理时间FPS（40分）。</w:t>
      </w:r>
    </w:p>
    <w:p w14:paraId="43831F00">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（3）现场答辩情况（20分）</w:t>
      </w:r>
    </w:p>
    <w:p w14:paraId="184921F0">
      <w:pPr>
        <w:pStyle w:val="9"/>
        <w:shd w:val="clear" w:color="auto" w:fill="FFFFFF"/>
        <w:spacing w:before="0" w:beforeAutospacing="0" w:after="0" w:afterAutospacing="0" w:line="560" w:lineRule="exact"/>
        <w:ind w:firstLine="640" w:firstLineChars="200"/>
        <w:jc w:val="both"/>
        <w:rPr>
          <w:rFonts w:ascii="Times New Roman" w:hAnsi="Times New Roman" w:eastAsia="仿宋_GB2312" w:cs="仿宋_GB2312"/>
          <w:color w:val="000000"/>
          <w:sz w:val="32"/>
          <w:szCs w:val="32"/>
        </w:rPr>
      </w:pPr>
      <w:r>
        <w:rPr>
          <w:rFonts w:ascii="Times New Roman" w:hAnsi="Times New Roman" w:eastAsia="仿宋_GB2312" w:cs="仿宋_GB2312"/>
          <w:color w:val="000000"/>
          <w:sz w:val="32"/>
          <w:szCs w:val="32"/>
        </w:rPr>
        <w:t>答辩时需要向评委说明作品设计方案、作品实现方式等内容，并进行作品的现场实机演示，根据答辩实际情况综合评定。</w:t>
      </w:r>
    </w:p>
    <w:p w14:paraId="2E81C606">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3" w:name="_Hlk177808268"/>
      <w:bookmarkStart w:id="4" w:name="_Hlk177807040"/>
      <w:r>
        <w:rPr>
          <w:rFonts w:hint="eastAsia" w:eastAsia="黑体" w:cs="黑体"/>
          <w:color w:val="000000" w:themeColor="text1"/>
          <w:sz w:val="32"/>
          <w:szCs w:val="22"/>
          <w:lang w:val="en-US"/>
          <w14:textFill>
            <w14:solidFill>
              <w14:schemeClr w14:val="tx1"/>
            </w14:solidFill>
          </w14:textFill>
        </w:rPr>
        <w:t>七、作品提交及评审安排</w:t>
      </w:r>
    </w:p>
    <w:bookmarkEnd w:id="3"/>
    <w:bookmarkEnd w:id="4"/>
    <w:p w14:paraId="1D1C4134">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65DF3910">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6"/>
          <w:rFonts w:eastAsia="仿宋_GB2312" w:cs="仿宋_GB2312"/>
          <w:sz w:val="32"/>
          <w:szCs w:val="32"/>
          <w:lang w:val="en-US"/>
        </w:rPr>
        <w:t>wutxskx@163.com。</w:t>
      </w:r>
      <w:r>
        <w:rPr>
          <w:rStyle w:val="16"/>
          <w:rFonts w:eastAsia="仿宋_GB2312" w:cs="仿宋_GB2312"/>
          <w:sz w:val="32"/>
          <w:szCs w:val="32"/>
          <w:lang w:val="en-US"/>
        </w:rPr>
        <w:fldChar w:fldCharType="end"/>
      </w:r>
    </w:p>
    <w:p w14:paraId="6C1250EB">
      <w:pPr>
        <w:spacing w:line="560" w:lineRule="exact"/>
        <w:ind w:firstLine="640" w:firstLineChars="200"/>
        <w:jc w:val="both"/>
        <w:rPr>
          <w:rFonts w:hint="eastAsia" w:ascii="仿宋" w:hAnsi="仿宋" w:eastAsia="仿宋"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w:t>
      </w:r>
      <w:bookmarkStart w:id="5" w:name="_GoBack"/>
      <w:bookmarkEnd w:id="5"/>
      <w:r>
        <w:rPr>
          <w:rFonts w:eastAsia="仿宋_GB2312" w:cs="仿宋_GB2312"/>
          <w:sz w:val="32"/>
          <w:szCs w:val="32"/>
          <w:lang w:val="en-US"/>
        </w:rPr>
        <w:t>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仿宋_GBK">
    <w:altName w:val="微软雅黑"/>
    <w:panose1 w:val="00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6659253"/>
    </w:sdtPr>
    <w:sdtEndPr>
      <w:rPr>
        <w:rFonts w:ascii="Times New Roman" w:hAnsi="Times New Roman" w:cs="Times New Roman"/>
      </w:rPr>
    </w:sdtEndPr>
    <w:sdtContent>
      <w:p w14:paraId="4F86DDDA">
        <w:pPr>
          <w:pStyle w:val="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13</w:t>
        </w:r>
        <w:r>
          <w:rPr>
            <w:rFonts w:ascii="Times New Roman" w:hAnsi="Times New Roman" w:cs="Times New Roma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1D95"/>
    <w:rsid w:val="000024AF"/>
    <w:rsid w:val="00005D1C"/>
    <w:rsid w:val="00017E5B"/>
    <w:rsid w:val="00021C1D"/>
    <w:rsid w:val="00057714"/>
    <w:rsid w:val="000626B0"/>
    <w:rsid w:val="00064968"/>
    <w:rsid w:val="00067FE1"/>
    <w:rsid w:val="00075C5A"/>
    <w:rsid w:val="0008738B"/>
    <w:rsid w:val="00087A77"/>
    <w:rsid w:val="00090304"/>
    <w:rsid w:val="000A6775"/>
    <w:rsid w:val="000B7EDB"/>
    <w:rsid w:val="000C6234"/>
    <w:rsid w:val="000D57EF"/>
    <w:rsid w:val="000D7BD3"/>
    <w:rsid w:val="000D7E69"/>
    <w:rsid w:val="000E674D"/>
    <w:rsid w:val="000F433B"/>
    <w:rsid w:val="0010211D"/>
    <w:rsid w:val="0011069F"/>
    <w:rsid w:val="00111E5D"/>
    <w:rsid w:val="00120156"/>
    <w:rsid w:val="001367A9"/>
    <w:rsid w:val="00143054"/>
    <w:rsid w:val="00146C5A"/>
    <w:rsid w:val="001530F8"/>
    <w:rsid w:val="001579F2"/>
    <w:rsid w:val="00164C26"/>
    <w:rsid w:val="0016564C"/>
    <w:rsid w:val="001754D3"/>
    <w:rsid w:val="001767FC"/>
    <w:rsid w:val="0018142F"/>
    <w:rsid w:val="00191B53"/>
    <w:rsid w:val="001A655E"/>
    <w:rsid w:val="001B0D74"/>
    <w:rsid w:val="001B2C6C"/>
    <w:rsid w:val="001B6610"/>
    <w:rsid w:val="001B7DCD"/>
    <w:rsid w:val="001C0DFA"/>
    <w:rsid w:val="001D0729"/>
    <w:rsid w:val="001D79BA"/>
    <w:rsid w:val="001E760D"/>
    <w:rsid w:val="001E77C2"/>
    <w:rsid w:val="001F2887"/>
    <w:rsid w:val="001F6CC8"/>
    <w:rsid w:val="0020086A"/>
    <w:rsid w:val="00205E3B"/>
    <w:rsid w:val="0022230A"/>
    <w:rsid w:val="00226149"/>
    <w:rsid w:val="00233062"/>
    <w:rsid w:val="00236E3E"/>
    <w:rsid w:val="00245CF2"/>
    <w:rsid w:val="002560B0"/>
    <w:rsid w:val="0025626D"/>
    <w:rsid w:val="00261DA4"/>
    <w:rsid w:val="00262C22"/>
    <w:rsid w:val="002649FE"/>
    <w:rsid w:val="00281AE9"/>
    <w:rsid w:val="00283877"/>
    <w:rsid w:val="00292A9A"/>
    <w:rsid w:val="002938E3"/>
    <w:rsid w:val="00295420"/>
    <w:rsid w:val="002B0D40"/>
    <w:rsid w:val="002B6DDC"/>
    <w:rsid w:val="002E7BFD"/>
    <w:rsid w:val="002F7D9C"/>
    <w:rsid w:val="00315909"/>
    <w:rsid w:val="00331BD9"/>
    <w:rsid w:val="00341051"/>
    <w:rsid w:val="003430C8"/>
    <w:rsid w:val="00346133"/>
    <w:rsid w:val="00346905"/>
    <w:rsid w:val="00351403"/>
    <w:rsid w:val="00354FAF"/>
    <w:rsid w:val="00363E2D"/>
    <w:rsid w:val="00371816"/>
    <w:rsid w:val="003777A8"/>
    <w:rsid w:val="00392185"/>
    <w:rsid w:val="0039481F"/>
    <w:rsid w:val="00397237"/>
    <w:rsid w:val="003A424E"/>
    <w:rsid w:val="003A628B"/>
    <w:rsid w:val="003B6C68"/>
    <w:rsid w:val="003B6CCC"/>
    <w:rsid w:val="003B786C"/>
    <w:rsid w:val="003D404A"/>
    <w:rsid w:val="003E007F"/>
    <w:rsid w:val="003E0B27"/>
    <w:rsid w:val="003E0E56"/>
    <w:rsid w:val="003E2852"/>
    <w:rsid w:val="003E2D07"/>
    <w:rsid w:val="003F15A6"/>
    <w:rsid w:val="003F3EFE"/>
    <w:rsid w:val="004010A7"/>
    <w:rsid w:val="00403615"/>
    <w:rsid w:val="00405B32"/>
    <w:rsid w:val="00407F26"/>
    <w:rsid w:val="00411F51"/>
    <w:rsid w:val="0041464C"/>
    <w:rsid w:val="0044592C"/>
    <w:rsid w:val="004624C4"/>
    <w:rsid w:val="00463782"/>
    <w:rsid w:val="00471974"/>
    <w:rsid w:val="00476A7D"/>
    <w:rsid w:val="00483410"/>
    <w:rsid w:val="004837B9"/>
    <w:rsid w:val="004876C3"/>
    <w:rsid w:val="0049360C"/>
    <w:rsid w:val="00494F44"/>
    <w:rsid w:val="00496D3E"/>
    <w:rsid w:val="004978AB"/>
    <w:rsid w:val="004A0A91"/>
    <w:rsid w:val="004B00B4"/>
    <w:rsid w:val="004B01E5"/>
    <w:rsid w:val="004B6FF1"/>
    <w:rsid w:val="004C1744"/>
    <w:rsid w:val="004D0FC5"/>
    <w:rsid w:val="004D74B5"/>
    <w:rsid w:val="004E619E"/>
    <w:rsid w:val="004F2D72"/>
    <w:rsid w:val="004F30AF"/>
    <w:rsid w:val="004F3DC9"/>
    <w:rsid w:val="004F7EC7"/>
    <w:rsid w:val="005148D8"/>
    <w:rsid w:val="00517736"/>
    <w:rsid w:val="00532B4E"/>
    <w:rsid w:val="005333BA"/>
    <w:rsid w:val="00537F15"/>
    <w:rsid w:val="005426FA"/>
    <w:rsid w:val="00551B52"/>
    <w:rsid w:val="00553DCC"/>
    <w:rsid w:val="00554C5C"/>
    <w:rsid w:val="00556AB1"/>
    <w:rsid w:val="005676C4"/>
    <w:rsid w:val="00573647"/>
    <w:rsid w:val="005753FB"/>
    <w:rsid w:val="00577641"/>
    <w:rsid w:val="00580524"/>
    <w:rsid w:val="0058251D"/>
    <w:rsid w:val="00585CAC"/>
    <w:rsid w:val="005944CA"/>
    <w:rsid w:val="005954C1"/>
    <w:rsid w:val="005A1799"/>
    <w:rsid w:val="005A5BBF"/>
    <w:rsid w:val="005B1B01"/>
    <w:rsid w:val="005C1AAC"/>
    <w:rsid w:val="005D135B"/>
    <w:rsid w:val="005D33E1"/>
    <w:rsid w:val="005E0F11"/>
    <w:rsid w:val="00603AF5"/>
    <w:rsid w:val="006047E7"/>
    <w:rsid w:val="00606DA8"/>
    <w:rsid w:val="006127CE"/>
    <w:rsid w:val="00613673"/>
    <w:rsid w:val="00613AAA"/>
    <w:rsid w:val="006226BA"/>
    <w:rsid w:val="00623B82"/>
    <w:rsid w:val="00633F6B"/>
    <w:rsid w:val="00636F96"/>
    <w:rsid w:val="00652DCF"/>
    <w:rsid w:val="006530FD"/>
    <w:rsid w:val="00654A4E"/>
    <w:rsid w:val="00657A47"/>
    <w:rsid w:val="00663468"/>
    <w:rsid w:val="00664F32"/>
    <w:rsid w:val="0066573D"/>
    <w:rsid w:val="00680A5A"/>
    <w:rsid w:val="0068166A"/>
    <w:rsid w:val="006A3A6E"/>
    <w:rsid w:val="006A51DF"/>
    <w:rsid w:val="006B0D71"/>
    <w:rsid w:val="006B320B"/>
    <w:rsid w:val="006B5A13"/>
    <w:rsid w:val="006C3959"/>
    <w:rsid w:val="006C6F75"/>
    <w:rsid w:val="006C732F"/>
    <w:rsid w:val="006E4A40"/>
    <w:rsid w:val="006E6DDA"/>
    <w:rsid w:val="00705449"/>
    <w:rsid w:val="0070760F"/>
    <w:rsid w:val="007216F0"/>
    <w:rsid w:val="0073249A"/>
    <w:rsid w:val="00737A1F"/>
    <w:rsid w:val="00746651"/>
    <w:rsid w:val="007472F6"/>
    <w:rsid w:val="007510CC"/>
    <w:rsid w:val="00765C33"/>
    <w:rsid w:val="007704AB"/>
    <w:rsid w:val="00771A0D"/>
    <w:rsid w:val="00777C79"/>
    <w:rsid w:val="007879EC"/>
    <w:rsid w:val="007934A9"/>
    <w:rsid w:val="007B11A7"/>
    <w:rsid w:val="007B2D81"/>
    <w:rsid w:val="007C7D87"/>
    <w:rsid w:val="007D25C7"/>
    <w:rsid w:val="007D393D"/>
    <w:rsid w:val="007F195A"/>
    <w:rsid w:val="007F2B7E"/>
    <w:rsid w:val="00805D49"/>
    <w:rsid w:val="00816F55"/>
    <w:rsid w:val="00825FD8"/>
    <w:rsid w:val="008313DD"/>
    <w:rsid w:val="008321B0"/>
    <w:rsid w:val="00837C8C"/>
    <w:rsid w:val="00851D22"/>
    <w:rsid w:val="00860FD3"/>
    <w:rsid w:val="0086455E"/>
    <w:rsid w:val="008669B5"/>
    <w:rsid w:val="00867EEA"/>
    <w:rsid w:val="00872C0C"/>
    <w:rsid w:val="008769EE"/>
    <w:rsid w:val="0088143A"/>
    <w:rsid w:val="008836AC"/>
    <w:rsid w:val="00886EA7"/>
    <w:rsid w:val="00887D7E"/>
    <w:rsid w:val="0089086B"/>
    <w:rsid w:val="00890D37"/>
    <w:rsid w:val="008B0996"/>
    <w:rsid w:val="008B43EC"/>
    <w:rsid w:val="008C158F"/>
    <w:rsid w:val="008C4B94"/>
    <w:rsid w:val="008E2556"/>
    <w:rsid w:val="008E3EE3"/>
    <w:rsid w:val="008E7509"/>
    <w:rsid w:val="008F2EEB"/>
    <w:rsid w:val="008F2FB1"/>
    <w:rsid w:val="00912ADC"/>
    <w:rsid w:val="00917F07"/>
    <w:rsid w:val="009216B4"/>
    <w:rsid w:val="00922DFF"/>
    <w:rsid w:val="00923192"/>
    <w:rsid w:val="00923626"/>
    <w:rsid w:val="009308AC"/>
    <w:rsid w:val="00931DCA"/>
    <w:rsid w:val="0093518D"/>
    <w:rsid w:val="00937CB6"/>
    <w:rsid w:val="0094347D"/>
    <w:rsid w:val="00953BA4"/>
    <w:rsid w:val="00954857"/>
    <w:rsid w:val="009632E8"/>
    <w:rsid w:val="00966187"/>
    <w:rsid w:val="0097714D"/>
    <w:rsid w:val="0098360B"/>
    <w:rsid w:val="00987542"/>
    <w:rsid w:val="00995541"/>
    <w:rsid w:val="00996802"/>
    <w:rsid w:val="009A5F81"/>
    <w:rsid w:val="009A5F9B"/>
    <w:rsid w:val="009C10CE"/>
    <w:rsid w:val="009F066D"/>
    <w:rsid w:val="009F07EF"/>
    <w:rsid w:val="00A0235C"/>
    <w:rsid w:val="00A16E8F"/>
    <w:rsid w:val="00A22759"/>
    <w:rsid w:val="00A30D68"/>
    <w:rsid w:val="00A31A98"/>
    <w:rsid w:val="00A37ED7"/>
    <w:rsid w:val="00A4232F"/>
    <w:rsid w:val="00A43480"/>
    <w:rsid w:val="00A44A26"/>
    <w:rsid w:val="00A460CE"/>
    <w:rsid w:val="00A921CC"/>
    <w:rsid w:val="00AA7BD8"/>
    <w:rsid w:val="00AB1BF4"/>
    <w:rsid w:val="00AC2EF7"/>
    <w:rsid w:val="00AD025A"/>
    <w:rsid w:val="00AD24CF"/>
    <w:rsid w:val="00AD6CFA"/>
    <w:rsid w:val="00AE1BF7"/>
    <w:rsid w:val="00AE1C6E"/>
    <w:rsid w:val="00AE66B7"/>
    <w:rsid w:val="00B0258C"/>
    <w:rsid w:val="00B05DF6"/>
    <w:rsid w:val="00B13711"/>
    <w:rsid w:val="00B23CF5"/>
    <w:rsid w:val="00B2528E"/>
    <w:rsid w:val="00B31BF1"/>
    <w:rsid w:val="00B32E7F"/>
    <w:rsid w:val="00B35B67"/>
    <w:rsid w:val="00B40CAF"/>
    <w:rsid w:val="00B46254"/>
    <w:rsid w:val="00B46971"/>
    <w:rsid w:val="00B52CCC"/>
    <w:rsid w:val="00B70A95"/>
    <w:rsid w:val="00B72D7A"/>
    <w:rsid w:val="00B80D09"/>
    <w:rsid w:val="00B80EC7"/>
    <w:rsid w:val="00B936E4"/>
    <w:rsid w:val="00BA1E23"/>
    <w:rsid w:val="00BA70BA"/>
    <w:rsid w:val="00BB7F70"/>
    <w:rsid w:val="00BC1B59"/>
    <w:rsid w:val="00BE3DFC"/>
    <w:rsid w:val="00BE5E34"/>
    <w:rsid w:val="00BE634B"/>
    <w:rsid w:val="00BE783A"/>
    <w:rsid w:val="00BF1AAC"/>
    <w:rsid w:val="00BF4E2D"/>
    <w:rsid w:val="00C217F1"/>
    <w:rsid w:val="00C23491"/>
    <w:rsid w:val="00C241A6"/>
    <w:rsid w:val="00C24C93"/>
    <w:rsid w:val="00C36CDC"/>
    <w:rsid w:val="00C43EAB"/>
    <w:rsid w:val="00C60328"/>
    <w:rsid w:val="00C678B8"/>
    <w:rsid w:val="00C81301"/>
    <w:rsid w:val="00C82B11"/>
    <w:rsid w:val="00C90F03"/>
    <w:rsid w:val="00C9424A"/>
    <w:rsid w:val="00C97BA0"/>
    <w:rsid w:val="00CA6737"/>
    <w:rsid w:val="00CB5FAC"/>
    <w:rsid w:val="00D05DE3"/>
    <w:rsid w:val="00D1179F"/>
    <w:rsid w:val="00D1243E"/>
    <w:rsid w:val="00D16EFC"/>
    <w:rsid w:val="00D4324A"/>
    <w:rsid w:val="00D44C86"/>
    <w:rsid w:val="00D474E2"/>
    <w:rsid w:val="00D531BB"/>
    <w:rsid w:val="00D55D40"/>
    <w:rsid w:val="00D639E6"/>
    <w:rsid w:val="00D64A7B"/>
    <w:rsid w:val="00D71164"/>
    <w:rsid w:val="00D755E0"/>
    <w:rsid w:val="00D8092B"/>
    <w:rsid w:val="00D826F5"/>
    <w:rsid w:val="00D8370E"/>
    <w:rsid w:val="00D905C1"/>
    <w:rsid w:val="00D90F3B"/>
    <w:rsid w:val="00DA4A6A"/>
    <w:rsid w:val="00DB02D9"/>
    <w:rsid w:val="00DB59F1"/>
    <w:rsid w:val="00DD14F8"/>
    <w:rsid w:val="00DD629A"/>
    <w:rsid w:val="00DE1185"/>
    <w:rsid w:val="00DE6299"/>
    <w:rsid w:val="00DF09AA"/>
    <w:rsid w:val="00DF64DF"/>
    <w:rsid w:val="00DF78E0"/>
    <w:rsid w:val="00E01DD4"/>
    <w:rsid w:val="00E02303"/>
    <w:rsid w:val="00E052B8"/>
    <w:rsid w:val="00E05639"/>
    <w:rsid w:val="00E067C4"/>
    <w:rsid w:val="00E13134"/>
    <w:rsid w:val="00E30024"/>
    <w:rsid w:val="00E40714"/>
    <w:rsid w:val="00E4552F"/>
    <w:rsid w:val="00E46C70"/>
    <w:rsid w:val="00E47733"/>
    <w:rsid w:val="00E5011B"/>
    <w:rsid w:val="00E524CD"/>
    <w:rsid w:val="00E65FC6"/>
    <w:rsid w:val="00E6663E"/>
    <w:rsid w:val="00E72C07"/>
    <w:rsid w:val="00E909FD"/>
    <w:rsid w:val="00EA0B44"/>
    <w:rsid w:val="00EA1830"/>
    <w:rsid w:val="00EA697C"/>
    <w:rsid w:val="00EB1E9B"/>
    <w:rsid w:val="00EB2BDB"/>
    <w:rsid w:val="00EB4B20"/>
    <w:rsid w:val="00EB7AF2"/>
    <w:rsid w:val="00EF3C50"/>
    <w:rsid w:val="00EF7243"/>
    <w:rsid w:val="00F04D95"/>
    <w:rsid w:val="00F1130C"/>
    <w:rsid w:val="00F1317D"/>
    <w:rsid w:val="00F256C4"/>
    <w:rsid w:val="00F26931"/>
    <w:rsid w:val="00F5253A"/>
    <w:rsid w:val="00F56540"/>
    <w:rsid w:val="00F57CAE"/>
    <w:rsid w:val="00F70F5B"/>
    <w:rsid w:val="00F730DE"/>
    <w:rsid w:val="00F74A1C"/>
    <w:rsid w:val="00F75202"/>
    <w:rsid w:val="00F76CAF"/>
    <w:rsid w:val="00F862F4"/>
    <w:rsid w:val="00F910DA"/>
    <w:rsid w:val="00F944E0"/>
    <w:rsid w:val="00F9454A"/>
    <w:rsid w:val="00F96CA8"/>
    <w:rsid w:val="00FA1D99"/>
    <w:rsid w:val="00FC601C"/>
    <w:rsid w:val="00FF539B"/>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5EB04D2"/>
    <w:rsid w:val="0671705A"/>
    <w:rsid w:val="06732134"/>
    <w:rsid w:val="069E4056"/>
    <w:rsid w:val="06F55DEF"/>
    <w:rsid w:val="07463F1D"/>
    <w:rsid w:val="078F2493"/>
    <w:rsid w:val="07901CC5"/>
    <w:rsid w:val="0795514D"/>
    <w:rsid w:val="0840076F"/>
    <w:rsid w:val="08601D96"/>
    <w:rsid w:val="08C25676"/>
    <w:rsid w:val="09644BDE"/>
    <w:rsid w:val="09AA3609"/>
    <w:rsid w:val="0A260073"/>
    <w:rsid w:val="0A8F7AAE"/>
    <w:rsid w:val="0AD671E5"/>
    <w:rsid w:val="0B145510"/>
    <w:rsid w:val="0B2B6586"/>
    <w:rsid w:val="0B4A5469"/>
    <w:rsid w:val="0B60714F"/>
    <w:rsid w:val="0B6B3F04"/>
    <w:rsid w:val="0B6F69F0"/>
    <w:rsid w:val="0B8F177D"/>
    <w:rsid w:val="0C645CC6"/>
    <w:rsid w:val="0C955B7E"/>
    <w:rsid w:val="0CAD1E5B"/>
    <w:rsid w:val="0D09135F"/>
    <w:rsid w:val="0D4764C0"/>
    <w:rsid w:val="0D7E4529"/>
    <w:rsid w:val="0DA54A80"/>
    <w:rsid w:val="0DCF4D92"/>
    <w:rsid w:val="0EDC0AFF"/>
    <w:rsid w:val="0EF0331F"/>
    <w:rsid w:val="0F3D2FF6"/>
    <w:rsid w:val="0F78357E"/>
    <w:rsid w:val="0FA66A75"/>
    <w:rsid w:val="0FB12E15"/>
    <w:rsid w:val="106C4753"/>
    <w:rsid w:val="10772CDB"/>
    <w:rsid w:val="107A0F05"/>
    <w:rsid w:val="107F47F9"/>
    <w:rsid w:val="10DB3A4D"/>
    <w:rsid w:val="11292A0B"/>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55DA3"/>
    <w:rsid w:val="231F12DE"/>
    <w:rsid w:val="23531B69"/>
    <w:rsid w:val="23835AF5"/>
    <w:rsid w:val="23991047"/>
    <w:rsid w:val="23B107E7"/>
    <w:rsid w:val="23B940CE"/>
    <w:rsid w:val="242F1397"/>
    <w:rsid w:val="25324A72"/>
    <w:rsid w:val="2604714B"/>
    <w:rsid w:val="26680B0E"/>
    <w:rsid w:val="276607BD"/>
    <w:rsid w:val="27707807"/>
    <w:rsid w:val="277E3A4E"/>
    <w:rsid w:val="29095901"/>
    <w:rsid w:val="290F58EC"/>
    <w:rsid w:val="29712213"/>
    <w:rsid w:val="29826D04"/>
    <w:rsid w:val="2A641BAA"/>
    <w:rsid w:val="2A85768A"/>
    <w:rsid w:val="2B0E3A48"/>
    <w:rsid w:val="2B2B347E"/>
    <w:rsid w:val="2B5841C1"/>
    <w:rsid w:val="2B9C2019"/>
    <w:rsid w:val="2BC2788C"/>
    <w:rsid w:val="2BE61BF3"/>
    <w:rsid w:val="2BE63207"/>
    <w:rsid w:val="2BED05B2"/>
    <w:rsid w:val="2BF123C2"/>
    <w:rsid w:val="2C112589"/>
    <w:rsid w:val="2C1B5B53"/>
    <w:rsid w:val="2CD92454"/>
    <w:rsid w:val="2D5072C9"/>
    <w:rsid w:val="2D9737AA"/>
    <w:rsid w:val="2E44738D"/>
    <w:rsid w:val="2E483CF0"/>
    <w:rsid w:val="2E544F94"/>
    <w:rsid w:val="2EA80FBB"/>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76EA6"/>
    <w:rsid w:val="40244897"/>
    <w:rsid w:val="40504E9C"/>
    <w:rsid w:val="4090448B"/>
    <w:rsid w:val="4185378C"/>
    <w:rsid w:val="431E490D"/>
    <w:rsid w:val="4384772F"/>
    <w:rsid w:val="43850177"/>
    <w:rsid w:val="43865400"/>
    <w:rsid w:val="44362561"/>
    <w:rsid w:val="443B2D53"/>
    <w:rsid w:val="445341F2"/>
    <w:rsid w:val="44834750"/>
    <w:rsid w:val="44897BD9"/>
    <w:rsid w:val="44DB2ACE"/>
    <w:rsid w:val="458849D3"/>
    <w:rsid w:val="45A06791"/>
    <w:rsid w:val="45B1292D"/>
    <w:rsid w:val="45BF74A8"/>
    <w:rsid w:val="45CD38CF"/>
    <w:rsid w:val="462E307C"/>
    <w:rsid w:val="464072B5"/>
    <w:rsid w:val="464D21B7"/>
    <w:rsid w:val="46CA635B"/>
    <w:rsid w:val="485474D2"/>
    <w:rsid w:val="489A6F14"/>
    <w:rsid w:val="494B597C"/>
    <w:rsid w:val="498072FA"/>
    <w:rsid w:val="49962324"/>
    <w:rsid w:val="49ED0155"/>
    <w:rsid w:val="4A435BE4"/>
    <w:rsid w:val="4A5D3697"/>
    <w:rsid w:val="4AFC6247"/>
    <w:rsid w:val="4B704D15"/>
    <w:rsid w:val="4B8F5D2D"/>
    <w:rsid w:val="4B95246F"/>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EEA46A0"/>
    <w:rsid w:val="4F2E243F"/>
    <w:rsid w:val="4FDF2564"/>
    <w:rsid w:val="501523A2"/>
    <w:rsid w:val="504174FC"/>
    <w:rsid w:val="50571C9F"/>
    <w:rsid w:val="50AB003F"/>
    <w:rsid w:val="50CF4503"/>
    <w:rsid w:val="50D37C15"/>
    <w:rsid w:val="510065DD"/>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83FF8"/>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2179B"/>
    <w:rsid w:val="64A532CB"/>
    <w:rsid w:val="654B7F44"/>
    <w:rsid w:val="65F77B57"/>
    <w:rsid w:val="65FF3AA9"/>
    <w:rsid w:val="660031E4"/>
    <w:rsid w:val="660F3D1F"/>
    <w:rsid w:val="66152ACA"/>
    <w:rsid w:val="663250C1"/>
    <w:rsid w:val="66432D9C"/>
    <w:rsid w:val="66BF5DFC"/>
    <w:rsid w:val="66EF5BAF"/>
    <w:rsid w:val="675A157F"/>
    <w:rsid w:val="677909F1"/>
    <w:rsid w:val="67F91D07"/>
    <w:rsid w:val="683F44C5"/>
    <w:rsid w:val="68B44D24"/>
    <w:rsid w:val="69342E70"/>
    <w:rsid w:val="696D41C4"/>
    <w:rsid w:val="69BF1317"/>
    <w:rsid w:val="69ED05F9"/>
    <w:rsid w:val="6B263ACF"/>
    <w:rsid w:val="6B73602A"/>
    <w:rsid w:val="6B8B6CF1"/>
    <w:rsid w:val="6BDF6CC4"/>
    <w:rsid w:val="6C1660AA"/>
    <w:rsid w:val="6C234574"/>
    <w:rsid w:val="6C4142CA"/>
    <w:rsid w:val="6D967CC1"/>
    <w:rsid w:val="6E231488"/>
    <w:rsid w:val="6E7E2016"/>
    <w:rsid w:val="6F0452B4"/>
    <w:rsid w:val="6F4C6B46"/>
    <w:rsid w:val="70905002"/>
    <w:rsid w:val="70AE69DC"/>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0A7432"/>
    <w:rsid w:val="763F7413"/>
    <w:rsid w:val="76861D4C"/>
    <w:rsid w:val="769B2F7E"/>
    <w:rsid w:val="76B27622"/>
    <w:rsid w:val="776B1BBF"/>
    <w:rsid w:val="77740E18"/>
    <w:rsid w:val="780A371A"/>
    <w:rsid w:val="781101C0"/>
    <w:rsid w:val="7824373B"/>
    <w:rsid w:val="7831103D"/>
    <w:rsid w:val="784521A0"/>
    <w:rsid w:val="786755ED"/>
    <w:rsid w:val="788D1579"/>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spacing w:line="560" w:lineRule="exact"/>
      <w:ind w:left="640"/>
      <w:jc w:val="both"/>
      <w:outlineLvl w:val="1"/>
    </w:pPr>
    <w:rPr>
      <w:rFonts w:ascii="方正黑体简体" w:hAnsi="方正黑体简体" w:eastAsia="方正黑体简体"/>
      <w:sz w:val="32"/>
      <w:szCs w:val="22"/>
    </w:rPr>
  </w:style>
  <w:style w:type="paragraph" w:styleId="4">
    <w:name w:val="heading 3"/>
    <w:basedOn w:val="1"/>
    <w:next w:val="1"/>
    <w:link w:val="23"/>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6"/>
    <w:autoRedefine/>
    <w:semiHidden/>
    <w:unhideWhenUsed/>
    <w:qFormat/>
    <w:uiPriority w:val="99"/>
  </w:style>
  <w:style w:type="paragraph" w:styleId="6">
    <w:name w:val="Balloon Text"/>
    <w:basedOn w:val="1"/>
    <w:link w:val="28"/>
    <w:autoRedefine/>
    <w:semiHidden/>
    <w:unhideWhenUsed/>
    <w:qFormat/>
    <w:uiPriority w:val="99"/>
    <w:rPr>
      <w:sz w:val="18"/>
      <w:szCs w:val="18"/>
    </w:rPr>
  </w:style>
  <w:style w:type="paragraph" w:styleId="7">
    <w:name w:val="footer"/>
    <w:basedOn w:val="1"/>
    <w:link w:val="19"/>
    <w:autoRedefine/>
    <w:unhideWhenUsed/>
    <w:qFormat/>
    <w:uiPriority w:val="99"/>
    <w:pPr>
      <w:widowControl w:val="0"/>
      <w:tabs>
        <w:tab w:val="center" w:pos="4153"/>
        <w:tab w:val="right" w:pos="8306"/>
      </w:tabs>
      <w:snapToGrid w:val="0"/>
      <w:jc w:val="center"/>
    </w:pPr>
    <w:rPr>
      <w:rFonts w:asciiTheme="minorHAnsi" w:hAnsiTheme="minorHAnsi" w:eastAsiaTheme="minorEastAsia" w:cstheme="minorBidi"/>
      <w:kern w:val="2"/>
      <w:lang w:val="en-US"/>
    </w:rPr>
  </w:style>
  <w:style w:type="paragraph" w:styleId="8">
    <w:name w:val="header"/>
    <w:basedOn w:val="1"/>
    <w:link w:val="18"/>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9">
    <w:name w:val="Normal (Web)"/>
    <w:basedOn w:val="1"/>
    <w:autoRedefine/>
    <w:unhideWhenUsed/>
    <w:qFormat/>
    <w:uiPriority w:val="99"/>
    <w:pPr>
      <w:spacing w:before="100" w:beforeAutospacing="1" w:after="100" w:afterAutospacing="1"/>
    </w:pPr>
    <w:rPr>
      <w:rFonts w:ascii="宋体" w:hAnsi="宋体" w:eastAsia="宋体" w:cs="宋体"/>
    </w:rPr>
  </w:style>
  <w:style w:type="paragraph" w:styleId="10">
    <w:name w:val="annotation subject"/>
    <w:basedOn w:val="5"/>
    <w:next w:val="5"/>
    <w:link w:val="27"/>
    <w:autoRedefine/>
    <w:semiHidden/>
    <w:unhideWhenUsed/>
    <w:qFormat/>
    <w:uiPriority w:val="99"/>
    <w:rPr>
      <w:b/>
      <w:bCs/>
    </w:rPr>
  </w:style>
  <w:style w:type="character" w:styleId="13">
    <w:name w:val="Strong"/>
    <w:autoRedefine/>
    <w:qFormat/>
    <w:uiPriority w:val="22"/>
    <w:rPr>
      <w:b/>
      <w:bCs/>
    </w:rPr>
  </w:style>
  <w:style w:type="character" w:styleId="14">
    <w:name w:val="FollowedHyperlink"/>
    <w:basedOn w:val="12"/>
    <w:autoRedefine/>
    <w:semiHidden/>
    <w:unhideWhenUsed/>
    <w:qFormat/>
    <w:uiPriority w:val="99"/>
    <w:rPr>
      <w:color w:val="954F72" w:themeColor="followedHyperlink"/>
      <w:u w:val="single"/>
      <w14:textFill>
        <w14:solidFill>
          <w14:schemeClr w14:val="folHlink"/>
        </w14:solidFill>
      </w14:textFill>
    </w:rPr>
  </w:style>
  <w:style w:type="character" w:styleId="15">
    <w:name w:val="Emphasis"/>
    <w:basedOn w:val="12"/>
    <w:autoRedefine/>
    <w:qFormat/>
    <w:uiPriority w:val="20"/>
    <w:rPr>
      <w:i/>
      <w:iCs/>
    </w:rPr>
  </w:style>
  <w:style w:type="character" w:styleId="16">
    <w:name w:val="Hyperlink"/>
    <w:basedOn w:val="12"/>
    <w:autoRedefine/>
    <w:unhideWhenUsed/>
    <w:qFormat/>
    <w:uiPriority w:val="99"/>
    <w:rPr>
      <w:color w:val="0563C1" w:themeColor="hyperlink"/>
      <w:u w:val="single"/>
      <w14:textFill>
        <w14:solidFill>
          <w14:schemeClr w14:val="hlink"/>
        </w14:solidFill>
      </w14:textFill>
    </w:rPr>
  </w:style>
  <w:style w:type="character" w:styleId="17">
    <w:name w:val="annotation reference"/>
    <w:basedOn w:val="12"/>
    <w:autoRedefine/>
    <w:semiHidden/>
    <w:unhideWhenUsed/>
    <w:qFormat/>
    <w:uiPriority w:val="99"/>
    <w:rPr>
      <w:sz w:val="21"/>
      <w:szCs w:val="21"/>
    </w:rPr>
  </w:style>
  <w:style w:type="character" w:customStyle="1" w:styleId="18">
    <w:name w:val="页眉 字符"/>
    <w:basedOn w:val="12"/>
    <w:link w:val="8"/>
    <w:autoRedefine/>
    <w:qFormat/>
    <w:uiPriority w:val="99"/>
    <w:rPr>
      <w:sz w:val="18"/>
      <w:szCs w:val="18"/>
    </w:rPr>
  </w:style>
  <w:style w:type="character" w:customStyle="1" w:styleId="19">
    <w:name w:val="页脚 字符"/>
    <w:basedOn w:val="12"/>
    <w:link w:val="7"/>
    <w:autoRedefine/>
    <w:qFormat/>
    <w:uiPriority w:val="99"/>
    <w:rPr>
      <w:rFonts w:asciiTheme="minorHAnsi" w:hAnsiTheme="minorHAnsi" w:eastAsiaTheme="minorEastAsia" w:cstheme="minorBidi"/>
      <w:kern w:val="2"/>
      <w:sz w:val="24"/>
      <w:szCs w:val="24"/>
    </w:rPr>
  </w:style>
  <w:style w:type="character" w:customStyle="1" w:styleId="20">
    <w:name w:val="未处理的提及1"/>
    <w:basedOn w:val="12"/>
    <w:autoRedefine/>
    <w:semiHidden/>
    <w:unhideWhenUsed/>
    <w:qFormat/>
    <w:uiPriority w:val="99"/>
    <w:rPr>
      <w:color w:val="605E5C"/>
      <w:shd w:val="clear" w:color="auto" w:fill="E1DFDD"/>
    </w:rPr>
  </w:style>
  <w:style w:type="paragraph" w:styleId="21">
    <w:name w:val="List Paragraph"/>
    <w:basedOn w:val="1"/>
    <w:autoRedefine/>
    <w:qFormat/>
    <w:uiPriority w:val="34"/>
    <w:pPr>
      <w:ind w:firstLine="420" w:firstLineChars="200"/>
    </w:pPr>
  </w:style>
  <w:style w:type="character" w:customStyle="1" w:styleId="22">
    <w:name w:val="未处理的提及2"/>
    <w:basedOn w:val="12"/>
    <w:autoRedefine/>
    <w:semiHidden/>
    <w:unhideWhenUsed/>
    <w:qFormat/>
    <w:uiPriority w:val="99"/>
    <w:rPr>
      <w:color w:val="605E5C"/>
      <w:shd w:val="clear" w:color="auto" w:fill="E1DFDD"/>
    </w:rPr>
  </w:style>
  <w:style w:type="character" w:customStyle="1" w:styleId="23">
    <w:name w:val="标题 3 字符"/>
    <w:link w:val="4"/>
    <w:autoRedefine/>
    <w:qFormat/>
    <w:uiPriority w:val="0"/>
    <w:rPr>
      <w:rFonts w:ascii="方正楷体简体" w:hAnsi="方正楷体简体" w:eastAsia="方正楷体简体"/>
      <w:sz w:val="32"/>
    </w:rPr>
  </w:style>
  <w:style w:type="table" w:customStyle="1" w:styleId="24">
    <w:name w:val="Table Normal"/>
    <w:autoRedefine/>
    <w:semiHidden/>
    <w:unhideWhenUsed/>
    <w:qFormat/>
    <w:uiPriority w:val="0"/>
    <w:tblPr>
      <w:tblCellMar>
        <w:top w:w="0" w:type="dxa"/>
        <w:left w:w="0" w:type="dxa"/>
        <w:bottom w:w="0" w:type="dxa"/>
        <w:right w:w="0" w:type="dxa"/>
      </w:tblCellMar>
    </w:tblPr>
  </w:style>
  <w:style w:type="character" w:customStyle="1" w:styleId="25">
    <w:name w:val="未处理的提及3"/>
    <w:basedOn w:val="12"/>
    <w:autoRedefine/>
    <w:semiHidden/>
    <w:unhideWhenUsed/>
    <w:qFormat/>
    <w:uiPriority w:val="99"/>
    <w:rPr>
      <w:color w:val="605E5C"/>
      <w:shd w:val="clear" w:color="auto" w:fill="E1DFDD"/>
    </w:rPr>
  </w:style>
  <w:style w:type="character" w:customStyle="1" w:styleId="26">
    <w:name w:val="批注文字 字符"/>
    <w:basedOn w:val="12"/>
    <w:link w:val="5"/>
    <w:autoRedefine/>
    <w:semiHidden/>
    <w:qFormat/>
    <w:uiPriority w:val="99"/>
    <w:rPr>
      <w:rFonts w:eastAsia="Times New Roman"/>
      <w:sz w:val="24"/>
      <w:szCs w:val="24"/>
      <w:lang w:val="en-GB"/>
    </w:rPr>
  </w:style>
  <w:style w:type="character" w:customStyle="1" w:styleId="27">
    <w:name w:val="批注主题 字符"/>
    <w:basedOn w:val="26"/>
    <w:link w:val="10"/>
    <w:autoRedefine/>
    <w:semiHidden/>
    <w:qFormat/>
    <w:uiPriority w:val="99"/>
    <w:rPr>
      <w:rFonts w:eastAsia="Times New Roman"/>
      <w:b/>
      <w:bCs/>
      <w:sz w:val="24"/>
      <w:szCs w:val="24"/>
      <w:lang w:val="en-GB"/>
    </w:rPr>
  </w:style>
  <w:style w:type="character" w:customStyle="1" w:styleId="28">
    <w:name w:val="批注框文本 字符"/>
    <w:basedOn w:val="12"/>
    <w:link w:val="6"/>
    <w:autoRedefine/>
    <w:semiHidden/>
    <w:qFormat/>
    <w:uiPriority w:val="99"/>
    <w:rPr>
      <w:rFonts w:eastAsia="Times New Roman"/>
      <w:sz w:val="18"/>
      <w:szCs w:val="18"/>
      <w:lang w:val="en-GB"/>
    </w:rPr>
  </w:style>
  <w:style w:type="paragraph" w:customStyle="1" w:styleId="29">
    <w:name w:val="Char"/>
    <w:basedOn w:val="1"/>
    <w:autoRedefine/>
    <w:qFormat/>
    <w:uiPriority w:val="0"/>
    <w:pPr>
      <w:widowControl w:val="0"/>
      <w:jc w:val="both"/>
    </w:pPr>
    <w:rPr>
      <w:rFonts w:eastAsia="宋体"/>
      <w:kern w:val="2"/>
      <w:sz w:val="21"/>
      <w:szCs w:val="20"/>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2387</Words>
  <Characters>2530</Characters>
  <Lines>19</Lines>
  <Paragraphs>5</Paragraphs>
  <TotalTime>0</TotalTime>
  <ScaleCrop>false</ScaleCrop>
  <LinksUpToDate>false</LinksUpToDate>
  <CharactersWithSpaces>2530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2024-09-25T01:28:00Z</dcterms:created>
  <dc:creator>张 斌</dc:creator>
  <cp:lastModifiedBy>金阳</cp:lastModifiedBy>
  <cp:lastPrinted>2023-02-10T11:47:00Z</cp:lastPrinted>
  <dcterms:modified xsi:type="dcterms:W3CDTF">2024-09-25T08:55:14Z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