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C1B5D">
      <w:pPr>
        <w:pStyle w:val="2"/>
        <w:kinsoku/>
        <w:autoSpaceDE/>
        <w:autoSpaceDN/>
        <w:adjustRightInd/>
        <w:snapToGrid/>
        <w:spacing w:beforeAutospacing="0" w:afterAutospacing="0" w:line="560" w:lineRule="exact"/>
        <w:textAlignment w:val="auto"/>
        <w:rPr>
          <w:rFonts w:hint="default" w:ascii="Times New Roman" w:hAnsi="Times New Roman" w:eastAsia="仿宋_GB2312" w:cs="仿宋_GB2312"/>
          <w:b w:val="0"/>
          <w:bCs w:val="0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仿宋_GB2312"/>
          <w:b w:val="0"/>
          <w:bCs w:val="0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题目1</w:t>
      </w:r>
      <w:r>
        <w:rPr>
          <w:rFonts w:ascii="Times New Roman" w:hAnsi="Times New Roman" w:eastAsia="仿宋_GB2312" w:cs="仿宋_GB2312"/>
          <w:b w:val="0"/>
          <w:bCs w:val="0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5：</w:t>
      </w:r>
    </w:p>
    <w:p w14:paraId="6762A3DD">
      <w:pPr>
        <w:widowControl w:val="0"/>
        <w:kinsoku/>
        <w:autoSpaceDE/>
        <w:autoSpaceDN/>
        <w:adjustRightInd/>
        <w:snapToGrid/>
        <w:jc w:val="center"/>
        <w:textAlignment w:val="auto"/>
        <w:outlineLvl w:val="0"/>
        <w:rPr>
          <w:rFonts w:ascii="Times New Roman" w:hAnsi="Times New Roman" w:eastAsia="方正小标宋简体" w:cs="方正小标宋简体"/>
          <w:snapToGrid/>
          <w:color w:val="000000" w:themeColor="text1"/>
          <w:kern w:val="36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snapToGrid/>
          <w:color w:val="000000" w:themeColor="text1"/>
          <w:kern w:val="36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“海洋点云感知目标检测、跟踪与定位技术”比赛方案</w:t>
      </w:r>
    </w:p>
    <w:p w14:paraId="4E353079">
      <w:pPr>
        <w:kinsoku/>
        <w:autoSpaceDE/>
        <w:autoSpaceDN/>
        <w:adjustRightInd/>
        <w:snapToGrid/>
        <w:jc w:val="center"/>
        <w:textAlignment w:val="auto"/>
        <w:rPr>
          <w:rFonts w:ascii="Times New Roman" w:hAnsi="Times New Roman" w:eastAsia="楷体_GB2312" w:cs="楷体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（武汉凌久微电子有限公司）</w:t>
      </w:r>
    </w:p>
    <w:p w14:paraId="69916DF7">
      <w:pPr>
        <w:widowControl w:val="0"/>
        <w:kinsoku/>
        <w:autoSpaceDE/>
        <w:autoSpaceDN/>
        <w:adjustRightInd/>
        <w:snapToGrid/>
        <w:spacing w:after="120" w:afterLines="50"/>
        <w:textAlignment w:val="auto"/>
        <w:outlineLvl w:val="0"/>
        <w:rPr>
          <w:rFonts w:ascii="Times New Roman" w:hAnsi="Times New Roman" w:eastAsia="方正楷体_GBK" w:cs="楷体"/>
          <w:color w:val="121212"/>
          <w:kern w:val="2"/>
          <w:sz w:val="32"/>
          <w:szCs w:val="32"/>
          <w:lang w:eastAsia="zh-CN"/>
        </w:rPr>
      </w:pPr>
    </w:p>
    <w:p w14:paraId="0B349F09">
      <w:pPr>
        <w:keepNext/>
        <w:keepLines/>
        <w:kinsoku/>
        <w:autoSpaceDE/>
        <w:autoSpaceDN/>
        <w:adjustRightInd/>
        <w:snapToGrid/>
        <w:ind w:firstLine="640" w:firstLineChars="200"/>
        <w:jc w:val="both"/>
        <w:textAlignment w:val="auto"/>
        <w:outlineLvl w:val="1"/>
        <w:rPr>
          <w:rFonts w:ascii="Times New Roman" w:hAnsi="Times New Roman" w:eastAsia="黑体" w:cs="黑体"/>
          <w:snapToGrid/>
          <w:sz w:val="32"/>
          <w:szCs w:val="22"/>
          <w:lang w:eastAsia="zh-CN"/>
        </w:rPr>
      </w:pPr>
      <w:bookmarkStart w:id="0" w:name="_Hlk177807638"/>
      <w:r>
        <w:rPr>
          <w:rFonts w:hint="eastAsia" w:ascii="Times New Roman" w:hAnsi="Times New Roman" w:eastAsia="黑体" w:cs="黑体"/>
          <w:snapToGrid/>
          <w:sz w:val="32"/>
          <w:szCs w:val="22"/>
          <w:lang w:eastAsia="zh-CN"/>
        </w:rPr>
        <w:t>一、出题单位</w:t>
      </w:r>
    </w:p>
    <w:bookmarkEnd w:id="0"/>
    <w:p w14:paraId="7CC5CADF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武汉凌久微电子有限公司</w:t>
      </w:r>
    </w:p>
    <w:p w14:paraId="4B04CC77">
      <w:pPr>
        <w:keepNext/>
        <w:keepLines/>
        <w:kinsoku/>
        <w:autoSpaceDE/>
        <w:autoSpaceDN/>
        <w:adjustRightInd/>
        <w:snapToGrid/>
        <w:ind w:firstLine="640" w:firstLineChars="200"/>
        <w:jc w:val="both"/>
        <w:textAlignment w:val="auto"/>
        <w:outlineLvl w:val="1"/>
        <w:rPr>
          <w:rFonts w:ascii="Times New Roman" w:hAnsi="Times New Roman" w:eastAsia="黑体" w:cs="黑体"/>
          <w:snapToGrid/>
          <w:sz w:val="32"/>
          <w:szCs w:val="22"/>
          <w:lang w:eastAsia="zh-CN"/>
        </w:rPr>
      </w:pPr>
      <w:r>
        <w:rPr>
          <w:rFonts w:ascii="Times New Roman" w:hAnsi="Times New Roman" w:eastAsia="黑体" w:cs="黑体"/>
          <w:snapToGrid/>
          <w:sz w:val="32"/>
          <w:szCs w:val="22"/>
          <w:lang w:eastAsia="zh-CN"/>
        </w:rPr>
        <w:t>二、题目名称</w:t>
      </w:r>
    </w:p>
    <w:p w14:paraId="1224CA06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海洋点云感知目标检测、跟踪与定位技术</w:t>
      </w:r>
    </w:p>
    <w:p w14:paraId="28670506">
      <w:pPr>
        <w:keepNext/>
        <w:keepLines/>
        <w:kinsoku/>
        <w:autoSpaceDE/>
        <w:autoSpaceDN/>
        <w:adjustRightInd/>
        <w:snapToGrid/>
        <w:ind w:firstLine="640" w:firstLineChars="200"/>
        <w:jc w:val="both"/>
        <w:textAlignment w:val="auto"/>
        <w:outlineLvl w:val="1"/>
        <w:rPr>
          <w:rFonts w:ascii="Times New Roman" w:hAnsi="Times New Roman" w:eastAsia="黑体" w:cs="黑体"/>
          <w:snapToGrid/>
          <w:sz w:val="32"/>
          <w:szCs w:val="22"/>
          <w:lang w:eastAsia="zh-CN"/>
        </w:rPr>
      </w:pPr>
      <w:r>
        <w:rPr>
          <w:rFonts w:ascii="Times New Roman" w:hAnsi="Times New Roman" w:eastAsia="黑体" w:cs="黑体"/>
          <w:snapToGrid/>
          <w:sz w:val="32"/>
          <w:szCs w:val="22"/>
          <w:lang w:eastAsia="zh-CN"/>
        </w:rPr>
        <w:t>三、题目介绍</w:t>
      </w:r>
    </w:p>
    <w:p w14:paraId="13387D8A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海洋点云感知目标检测、跟踪与定位技术是指在一定范围内实现对海洋目标的检测、跟踪、定位与识别的信号处理技术。</w:t>
      </w:r>
    </w:p>
    <w:p w14:paraId="7934E01C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海洋环境复杂多变，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对传感器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的探查精度影响较大。通常情况下，近距离进行目标能够获得较高的目标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检测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定位精度，利用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传感器点云数据进行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复杂海域的目标探查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可有效提高探查精度、降低安全风险。</w:t>
      </w:r>
    </w:p>
    <w:p w14:paraId="7C868F39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题目要求参赛者针对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主办方推荐的传感器点云数据集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目标检测、跟踪与定位测距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，要求实现全区域的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目标检测、跟踪与定位测距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，且保证能够探查到区域内所有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可以检测的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目标。</w:t>
      </w:r>
    </w:p>
    <w:p w14:paraId="5131840E">
      <w:pPr>
        <w:keepNext/>
        <w:keepLines/>
        <w:kinsoku/>
        <w:autoSpaceDE/>
        <w:autoSpaceDN/>
        <w:adjustRightInd/>
        <w:snapToGrid/>
        <w:ind w:firstLine="640" w:firstLineChars="200"/>
        <w:jc w:val="both"/>
        <w:textAlignment w:val="auto"/>
        <w:outlineLvl w:val="1"/>
        <w:rPr>
          <w:rFonts w:ascii="Times New Roman" w:hAnsi="Times New Roman" w:eastAsia="黑体" w:cs="黑体"/>
          <w:snapToGrid/>
          <w:sz w:val="32"/>
          <w:szCs w:val="22"/>
          <w:lang w:eastAsia="zh-CN"/>
        </w:rPr>
      </w:pPr>
      <w:r>
        <w:rPr>
          <w:rFonts w:hint="eastAsia" w:ascii="Times New Roman" w:hAnsi="Times New Roman" w:eastAsia="黑体" w:cs="黑体"/>
          <w:snapToGrid/>
          <w:sz w:val="32"/>
          <w:szCs w:val="22"/>
          <w:lang w:eastAsia="zh-CN"/>
        </w:rPr>
        <w:t>四、参赛对象</w:t>
      </w:r>
    </w:p>
    <w:p w14:paraId="73A3DAC9">
      <w:pPr>
        <w:kinsoku/>
        <w:autoSpaceDE/>
        <w:autoSpaceDN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 w:cs="仿宋_GB2312"/>
          <w:snapToGrid/>
          <w:color w:val="auto"/>
          <w:sz w:val="32"/>
          <w:szCs w:val="32"/>
          <w:lang w:eastAsia="zh-CN"/>
        </w:rPr>
      </w:pPr>
      <w:bookmarkStart w:id="1" w:name="_Hlk177807919"/>
      <w:r>
        <w:rPr>
          <w:rFonts w:hint="eastAsia" w:ascii="Times New Roman" w:hAnsi="Times New Roman" w:eastAsia="仿宋_GB2312" w:cs="仿宋_GB2312"/>
          <w:snapToGrid/>
          <w:color w:val="auto"/>
          <w:sz w:val="32"/>
          <w:szCs w:val="32"/>
          <w:lang w:eastAsia="zh-CN"/>
        </w:rPr>
        <w:t>2024年6月1日以前正式注册的全日制非成人教育的在校本科生、硕士研究生（不含在职研究生）均可申报作品参赛，以个人或团队形式参赛均可，每个团队不超过10人（含作品申报者），每件作品可由不超过3名教师指导完成。可以跨专业、跨学院组队，所属单位以学生负责人所在院系认定。</w:t>
      </w:r>
    </w:p>
    <w:p w14:paraId="700D38B8">
      <w:pPr>
        <w:kinsoku/>
        <w:autoSpaceDE/>
        <w:autoSpaceDN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 w:cs="仿宋_GB2312"/>
          <w:snapToGrid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napToGrid/>
          <w:color w:val="auto"/>
          <w:sz w:val="32"/>
          <w:szCs w:val="32"/>
          <w:lang w:eastAsia="zh-CN"/>
        </w:rPr>
        <w:t>本校硕博连读生（直博生）若在2024年6月1日以前未通过博士资格考试的，可以按研究生学历申报作品。没有实行资格考试制度的学校，前两年可以按硕士学历申报作品。本硕博连读生，按照四年、两年分别对应本、硕申报，后续则不可申报。</w:t>
      </w:r>
    </w:p>
    <w:p w14:paraId="4645D3AB">
      <w:pPr>
        <w:kinsoku/>
        <w:autoSpaceDE/>
        <w:autoSpaceDN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 w:cs="仿宋_GB2312"/>
          <w:snapToGrid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napToGrid/>
          <w:color w:val="auto"/>
          <w:sz w:val="32"/>
          <w:szCs w:val="32"/>
          <w:lang w:eastAsia="zh-CN"/>
        </w:rPr>
        <w:t>毕业设计和课程设计（论文）、学年论文和学位论文、国际竞赛中获奖的作品、获国家级奖励成果（含本竞赛主办单位参与举办的其他全国性竞赛的获奖作品）等均不在申报范围之列。</w:t>
      </w:r>
    </w:p>
    <w:p w14:paraId="7FD62574">
      <w:pPr>
        <w:kinsoku/>
        <w:autoSpaceDE/>
        <w:autoSpaceDN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 w:cs="仿宋_GB2312"/>
          <w:snapToGrid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napToGrid/>
          <w:color w:val="auto"/>
          <w:sz w:val="32"/>
          <w:szCs w:val="32"/>
          <w:lang w:eastAsia="zh-CN"/>
        </w:rPr>
        <w:t>每件作品仅可由1个学院推报，学院在推报前要对参赛团队成员及作品进行相关资格审查。</w:t>
      </w:r>
    </w:p>
    <w:p w14:paraId="5567C747">
      <w:pPr>
        <w:kinsoku/>
        <w:autoSpaceDE/>
        <w:autoSpaceDN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 w:cs="仿宋_GB2312"/>
          <w:snapToGrid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napToGrid/>
          <w:color w:val="auto"/>
          <w:sz w:val="32"/>
          <w:szCs w:val="32"/>
          <w:lang w:eastAsia="zh-CN"/>
        </w:rPr>
        <w:t>每个学院选送参加专项赛的作品数量不设限制，同一作品不得同时参加第二十四届“创新杯”大学生课外学术科技作品竞赛和第二十四届“创新杯”</w:t>
      </w:r>
      <w:r>
        <w:rPr>
          <w:rFonts w:ascii="Times New Roman" w:hAnsi="Times New Roman" w:eastAsia="仿宋_GB2312" w:cs="Times New Roman"/>
          <w:snapToGrid/>
          <w:color w:val="333333"/>
          <w:sz w:val="32"/>
          <w:szCs w:val="28"/>
          <w:shd w:val="clear" w:color="auto" w:fill="FFFFFF"/>
          <w:lang w:val="en-GB" w:eastAsia="zh-CN" w:bidi="ar"/>
        </w:rPr>
        <w:t>大学生创业计划竞赛</w:t>
      </w:r>
      <w:r>
        <w:rPr>
          <w:rFonts w:hint="eastAsia" w:ascii="Times New Roman" w:hAnsi="Times New Roman" w:eastAsia="仿宋_GB2312" w:cs="仿宋_GB2312"/>
          <w:snapToGrid/>
          <w:color w:val="auto"/>
          <w:sz w:val="32"/>
          <w:szCs w:val="32"/>
          <w:lang w:eastAsia="zh-CN"/>
        </w:rPr>
        <w:t>。已参加第十九届“挑战杯”全国大学生课外学术科技作品竞赛2024年度“揭榜挂帅”专项赛的作品可以继续参加第二十四届“创新杯”揭榜挂帅专项赛。</w:t>
      </w:r>
    </w:p>
    <w:bookmarkEnd w:id="1"/>
    <w:p w14:paraId="0954DD9E">
      <w:pPr>
        <w:pStyle w:val="3"/>
        <w:rPr>
          <w:rFonts w:ascii="Times New Roman" w:hAnsi="Times New Roman"/>
        </w:rPr>
      </w:pPr>
      <w:r>
        <w:rPr>
          <w:rFonts w:hint="eastAsia" w:ascii="Times New Roman" w:hAnsi="Times New Roman"/>
        </w:rPr>
        <w:t>五、答题要求</w:t>
      </w:r>
    </w:p>
    <w:p w14:paraId="17C69C51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参赛者需基于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FPGA仿真平台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完成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“海洋点云感知目标检测，跟踪与定位”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的研发（开发语言不限），最终的作品提交形式为报名表、报名信息统计表、材料文档和源代码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等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9677F75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材料文档包括但不限于：</w:t>
      </w:r>
    </w:p>
    <w:p w14:paraId="52916F8A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（1）设计说明：</w:t>
      </w:r>
    </w:p>
    <w:p w14:paraId="3070D847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a)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国内外发展调研分析情况；</w:t>
      </w:r>
    </w:p>
    <w:p w14:paraId="7425D8C8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b)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阐述模型设计思路；</w:t>
      </w:r>
    </w:p>
    <w:p w14:paraId="6AFA6B50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c)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模型实现的技术路线；</w:t>
      </w:r>
    </w:p>
    <w:p w14:paraId="23F3C33E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d)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实际应用的具体工程方法；</w:t>
      </w:r>
    </w:p>
    <w:p w14:paraId="5995D9A5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e)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算法模型流程图。</w:t>
      </w:r>
    </w:p>
    <w:p w14:paraId="64CB6AA7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）自测报告：</w:t>
      </w:r>
    </w:p>
    <w:p w14:paraId="6AC76F18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a)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自测结果分析和使用数据集说明；</w:t>
      </w:r>
    </w:p>
    <w:p w14:paraId="7FFDD12B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b)python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（或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C/C++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）模型下的仿真结果。</w:t>
      </w:r>
    </w:p>
    <w:p w14:paraId="474E5CBA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（3）使用说明：</w:t>
      </w:r>
    </w:p>
    <w:p w14:paraId="24481A06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代码运行方法。</w:t>
      </w:r>
    </w:p>
    <w:p w14:paraId="7D1B1278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算法源代码：</w:t>
      </w:r>
    </w:p>
    <w:p w14:paraId="12A091F0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算法源代码，需满足：</w:t>
      </w:r>
    </w:p>
    <w:p w14:paraId="350B5FE8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（1）功能包括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目标检测（多目标检测）、目标跟踪（单目标跟踪、多目标跟踪）、目标测距（单目标测距）；</w:t>
      </w:r>
    </w:p>
    <w:p w14:paraId="106B1835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（2）提交的代码要求备注详尽，且保证可正常运行。</w:t>
      </w:r>
    </w:p>
    <w:p w14:paraId="778C6352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3.环境说明：</w:t>
      </w:r>
    </w:p>
    <w:p w14:paraId="5FCB3839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（1）测试数据集</w:t>
      </w:r>
    </w:p>
    <w:p w14:paraId="1238D13B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a)SeaShip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数据集</w:t>
      </w:r>
    </w:p>
    <w:p w14:paraId="28BF74D7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http://www.lmars.whu.edu.cn/prof_web/shaozhenfeng/datasets/SeaShips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7000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.zip</w:t>
      </w:r>
    </w:p>
    <w:p w14:paraId="53F21C9E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b)Real-worldUnderwaterImageEnhancement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RUIE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）数据集</w:t>
      </w:r>
    </w:p>
    <w:p w14:paraId="0A40C24D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https://github.com/dlut-dimt/Realworld-Underwater-Image-Enhancement-RUIE-Benchmark</w:t>
      </w:r>
    </w:p>
    <w:p w14:paraId="716AC2D6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c)AnUnderwaterImageEnhancementBenchmarkDatasetandBeyond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数据集</w:t>
      </w:r>
    </w:p>
    <w:p w14:paraId="27C174CB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https://li-chongyi.github.io/proj_benchmark.html</w:t>
      </w:r>
    </w:p>
    <w:p w14:paraId="43AA5CB3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d)EyeSeaUnderwaterVideo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数据集</w:t>
      </w:r>
    </w:p>
    <w:p w14:paraId="79B30768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https://data.pnnl.gov/group/nodes/dataset/12978</w:t>
      </w:r>
    </w:p>
    <w:p w14:paraId="64300C74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e)SQUID-StereoQuantitativeUnderwaterImageDataset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数据集</w:t>
      </w:r>
    </w:p>
    <w:p w14:paraId="225A98BB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https://opendatalab.com/OpenDataLab/SQUID/tree/main</w:t>
      </w:r>
    </w:p>
    <w:p w14:paraId="08A20891">
      <w:pPr>
        <w:kinsoku/>
        <w:autoSpaceDE/>
        <w:autoSpaceDN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f)Urpc2018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数据集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instrText xml:space="preserve"> HYPERLINK "https://aistudio.baidu.com/datasetdetail/227545" </w:instrTex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https://aistudio.baidu.com/datasetdetail/227545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fldChar w:fldCharType="end"/>
      </w:r>
    </w:p>
    <w:p w14:paraId="4B2F52DB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（2）模型选择，可以依据不同场景，不同测试要求，选择合适的深度学习模型；</w:t>
      </w:r>
    </w:p>
    <w:p w14:paraId="718A6D87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（3）编程语言不限，依赖文件可自行选择；</w:t>
      </w:r>
    </w:p>
    <w:p w14:paraId="6698C94E">
      <w:pPr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（4）成果演示时，需基于FPGA仿真平台结合演示图形图像界面展示，并能实时保存测试数据。</w:t>
      </w:r>
    </w:p>
    <w:p w14:paraId="0E6F9985">
      <w:pPr>
        <w:pStyle w:val="3"/>
        <w:rPr>
          <w:rFonts w:ascii="Times New Roman" w:hAnsi="Times New Roman"/>
        </w:rPr>
      </w:pPr>
      <w:r>
        <w:rPr>
          <w:rFonts w:hint="eastAsia" w:ascii="Times New Roman" w:hAnsi="Times New Roman"/>
        </w:rPr>
        <w:t>六、</w:t>
      </w:r>
      <w:r>
        <w:rPr>
          <w:rFonts w:ascii="Times New Roman" w:hAnsi="Times New Roman"/>
        </w:rPr>
        <w:t>作品评选</w:t>
      </w:r>
      <w:r>
        <w:rPr>
          <w:rFonts w:hint="eastAsia" w:ascii="Times New Roman" w:hAnsi="Times New Roman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参考</w:t>
      </w:r>
      <w:r>
        <w:rPr>
          <w:rFonts w:ascii="Times New Roman" w:hAnsi="Times New Roman"/>
        </w:rPr>
        <w:t>标准</w:t>
      </w:r>
    </w:p>
    <w:p w14:paraId="6A61312C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初审根据下述评审内容以及提交的算法仿真模型，以100分制进行打分，根据各参赛作品得分情况决定进入复审的参赛团队名单。</w:t>
      </w:r>
    </w:p>
    <w:p w14:paraId="2DA8451E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作品总分包括主观分、客观分和附加分，其中主观分36分，客观分64分，附加分按指标实现的优劣程度判定。</w:t>
      </w:r>
      <w:bookmarkStart w:id="2" w:name="_Hlk160519166"/>
    </w:p>
    <w:p w14:paraId="2B706B76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主观分（共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36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</w:t>
      </w:r>
    </w:p>
    <w:p w14:paraId="12D7665C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评委主要从作品的国内外发展调研分析情况、研究思路、技术路线、工程性、合理性等五个维度进行综合评价，各维度所占分值情况如下：</w:t>
      </w:r>
    </w:p>
    <w:p w14:paraId="6C7E9EC0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）国内外发展调研分析情况（分值：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分）；</w:t>
      </w:r>
    </w:p>
    <w:p w14:paraId="509D28F4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）研究思路合理性（分值：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分）；</w:t>
      </w:r>
    </w:p>
    <w:p w14:paraId="38390690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）技术路线可行性（分值：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分）；</w:t>
      </w:r>
    </w:p>
    <w:p w14:paraId="7EBD87B1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）工程可实现性（分值：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分）；</w:t>
      </w:r>
    </w:p>
    <w:p w14:paraId="480B9925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）模型合理性（分值：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分）。</w:t>
      </w:r>
    </w:p>
    <w:p w14:paraId="7FFF066A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客观分（共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64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</w:t>
      </w:r>
    </w:p>
    <w:p w14:paraId="75A618E0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测试指标实现情况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64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分。</w:t>
      </w:r>
    </w:p>
    <w:p w14:paraId="001539B2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）目标检测效率（分值：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</w:t>
      </w:r>
    </w:p>
    <w:p w14:paraId="49531FEE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目标检测指标包括：</w:t>
      </w:r>
    </w:p>
    <w:p w14:paraId="14FCC522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a)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精度评价指标：平均准确度均值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mAP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，召回率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Recall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，准确率（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Accuracy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），精确率（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Precision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），交除并（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IoU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）等。</w:t>
      </w:r>
    </w:p>
    <w:p w14:paraId="40235808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b)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目标置信度（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confidence level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26F50AF7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每项指标评分权重如下：</w:t>
      </w:r>
    </w:p>
    <w:p w14:paraId="21B27A54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指标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mAP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分）、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Recall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分）、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Accuracy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分）、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Precision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分）、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IoU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分）、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FPS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分）、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confidence level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</w:t>
      </w:r>
    </w:p>
    <w:p w14:paraId="570B9EC3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评分方法依据参赛队伍与作品实际状况，从高到低，分成几个档次，再依次评分，最后汇总。</w:t>
      </w:r>
    </w:p>
    <w:p w14:paraId="73D68C28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）单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多目标跟踪效率（分值：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</w:t>
      </w:r>
    </w:p>
    <w:p w14:paraId="08CBDB43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a)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单目标检测鲁棒性评估（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</w:t>
      </w:r>
    </w:p>
    <w:p w14:paraId="0FA74F37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单目标检测鲁棒性评估指标包括：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Temporal robustness evaluation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（时间鲁棒性评估）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TRE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Spatial robustness evaluation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（空间鲁棒性评估）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SRE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096BB76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各项指标评分权重如下：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TRE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分）、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SRE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</w:t>
      </w:r>
    </w:p>
    <w:p w14:paraId="51A26679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评分方法依据参赛队伍与作品实际状况，从高到低，分成几个档次，再依次评分，最后汇总。</w:t>
      </w:r>
    </w:p>
    <w:p w14:paraId="5E420A2B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b)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多目标跟踪的评价指标（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</w:t>
      </w:r>
    </w:p>
    <w:p w14:paraId="268D0823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多目标跟踪（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MOT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）的评价指标包括：</w:t>
      </w:r>
    </w:p>
    <w:p w14:paraId="0B7DEB81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多目标跟踪准确度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MOTA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、多目标跟踪精度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MOTP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、标识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F1IDF1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、身份编号切换次数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IDS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、具有对数检测的多目标跟踪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z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准确度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MOTAL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、大部分时间跟踪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MT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、大部分时间丢失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ML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、跟踪器误检的数量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FP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、跟踪器漏检的数量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FN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、每秒帧数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FPS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8C05D98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多目标跟踪考核指标：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MOTA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分）、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MOTP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分）、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IDF1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分）、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IDS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分）、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MT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分）、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ML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分）、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FP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分）、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FN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分）、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FPS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</w:t>
      </w:r>
    </w:p>
    <w:p w14:paraId="06D39718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评分方法依据参赛队伍与作品实际状况，从高到低，分成几个档次，再依次评分，最后汇总。</w:t>
      </w:r>
    </w:p>
    <w:p w14:paraId="7E582565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c)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目标测距效率（分值：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</w:t>
      </w:r>
    </w:p>
    <w:p w14:paraId="169F7DF1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目标测距效率评价指标包括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测距范围DMR、测距精度DMP。</w:t>
      </w:r>
    </w:p>
    <w:p w14:paraId="7FAF4FE7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各项指标评分权重如下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03994A75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指标</w:t>
      </w:r>
      <w:r>
        <w:rPr>
          <w:rFonts w:hint="eastAsia"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DMR（5分）、DMP（5分）</w:t>
      </w:r>
    </w:p>
    <w:p w14:paraId="2ACA0F98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snapToGrid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评分方法依据参赛队伍与作品实际状况，从高到低，分成几个档次，再依次评分，最后汇总。</w:t>
      </w:r>
    </w:p>
    <w:bookmarkEnd w:id="2"/>
    <w:p w14:paraId="24C510B0">
      <w:pPr>
        <w:keepNext/>
        <w:keepLines/>
        <w:kinsoku/>
        <w:autoSpaceDE/>
        <w:autoSpaceDN/>
        <w:adjustRightInd/>
        <w:snapToGrid/>
        <w:ind w:firstLine="640" w:firstLineChars="200"/>
        <w:jc w:val="both"/>
        <w:textAlignment w:val="auto"/>
        <w:outlineLvl w:val="1"/>
        <w:rPr>
          <w:rFonts w:ascii="Times New Roman" w:hAnsi="Times New Roman" w:eastAsia="黑体" w:cs="黑体"/>
          <w:snapToGrid/>
          <w:sz w:val="32"/>
          <w:szCs w:val="22"/>
          <w:lang w:eastAsia="zh-CN"/>
        </w:rPr>
      </w:pPr>
      <w:bookmarkStart w:id="3" w:name="_Hlk177807040"/>
      <w:r>
        <w:rPr>
          <w:rFonts w:hint="eastAsia" w:ascii="Times New Roman" w:hAnsi="Times New Roman" w:eastAsia="黑体" w:cs="黑体"/>
          <w:snapToGrid/>
          <w:sz w:val="32"/>
          <w:szCs w:val="22"/>
          <w:lang w:eastAsia="zh-CN"/>
        </w:rPr>
        <w:t>七、作品提交及评审安排</w:t>
      </w:r>
    </w:p>
    <w:bookmarkEnd w:id="3"/>
    <w:p w14:paraId="1D1C4134">
      <w:pPr>
        <w:spacing w:line="560" w:lineRule="exact"/>
        <w:ind w:firstLine="640" w:firstLineChars="200"/>
        <w:jc w:val="both"/>
        <w:rPr>
          <w:rFonts w:ascii="Times New Roman" w:hAnsi="Times New Roman" w:eastAsia="仿宋_GB2312" w:cs="仿宋_GB2312"/>
          <w:sz w:val="32"/>
          <w:szCs w:val="32"/>
          <w:lang w:val="en-US"/>
        </w:rPr>
      </w:pPr>
      <w:r>
        <w:rPr>
          <w:rFonts w:ascii="Times New Roman" w:hAnsi="Times New Roman" w:eastAsia="仿宋_GB2312" w:cs="仿宋_GB2312"/>
          <w:sz w:val="32"/>
          <w:szCs w:val="32"/>
          <w:lang w:val="en-US"/>
        </w:rPr>
        <w:t>各学院于2024年10月前进行作品申报及其作者的资格及形式审查，并组成本学院评审委员会</w:t>
      </w:r>
      <w:r>
        <w:rPr>
          <w:rFonts w:hint="eastAsia" w:ascii="Times New Roman" w:hAnsi="Times New Roman" w:eastAsia="仿宋_GB2312" w:cs="仿宋_GB2312"/>
          <w:sz w:val="32"/>
          <w:szCs w:val="32"/>
          <w:lang w:val="en-US"/>
        </w:rPr>
        <w:t>。</w:t>
      </w:r>
    </w:p>
    <w:p w14:paraId="65DF3910">
      <w:pPr>
        <w:spacing w:line="560" w:lineRule="exact"/>
        <w:ind w:firstLine="640" w:firstLineChars="200"/>
        <w:jc w:val="both"/>
        <w:rPr>
          <w:rFonts w:ascii="Times New Roman" w:hAnsi="Times New Roman" w:eastAsia="仿宋_GB2312" w:cs="仿宋_GB2312"/>
          <w:sz w:val="32"/>
          <w:szCs w:val="32"/>
          <w:lang w:val="en-US"/>
        </w:rPr>
      </w:pPr>
      <w:r>
        <w:rPr>
          <w:rFonts w:ascii="Times New Roman" w:hAnsi="Times New Roman" w:eastAsia="仿宋_GB2312" w:cs="仿宋_GB2312"/>
          <w:sz w:val="32"/>
          <w:szCs w:val="32"/>
          <w:lang w:val="en-US"/>
        </w:rPr>
        <w:t>各学院评审委员会于2024年1</w:t>
      </w:r>
      <w:r>
        <w:rPr>
          <w:rFonts w:hint="eastAsia" w:ascii="Times New Roman" w:hAnsi="Times New Roman" w:eastAsia="仿宋_GB2312" w:cs="仿宋_GB2312"/>
          <w:sz w:val="32"/>
          <w:szCs w:val="32"/>
          <w:lang w:val="en-US"/>
        </w:rPr>
        <w:t>0</w:t>
      </w:r>
      <w:r>
        <w:rPr>
          <w:rFonts w:ascii="Times New Roman" w:hAnsi="Times New Roman" w:eastAsia="仿宋_GB2312" w:cs="仿宋_GB2312"/>
          <w:sz w:val="32"/>
          <w:szCs w:val="32"/>
          <w:lang w:val="en-US"/>
        </w:rPr>
        <w:t>月底前完成对本学院申报作品的院级选拔赛，择优挑选作品，于2024年1</w:t>
      </w:r>
      <w:r>
        <w:rPr>
          <w:rFonts w:hint="eastAsia" w:ascii="Times New Roman" w:hAnsi="Times New Roman" w:eastAsia="仿宋_GB2312" w:cs="仿宋_GB2312"/>
          <w:sz w:val="32"/>
          <w:szCs w:val="32"/>
          <w:lang w:val="en-US"/>
        </w:rPr>
        <w:t>1</w:t>
      </w:r>
      <w:r>
        <w:rPr>
          <w:rFonts w:ascii="Times New Roman" w:hAnsi="Times New Roman" w:eastAsia="仿宋_GB2312" w:cs="仿宋_GB2312"/>
          <w:sz w:val="32"/>
          <w:szCs w:val="32"/>
          <w:lang w:val="en-US"/>
        </w:rPr>
        <w:t>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/>
        </w:rPr>
        <w:t>8日前</w:t>
      </w:r>
      <w:r>
        <w:rPr>
          <w:rFonts w:ascii="Times New Roman" w:hAnsi="Times New Roman" w:eastAsia="仿宋_GB2312" w:cs="仿宋_GB2312"/>
          <w:sz w:val="32"/>
          <w:szCs w:val="32"/>
          <w:lang w:val="en-US"/>
        </w:rPr>
        <w:t>，向校组委会办公室（办公地点设在南湖校区立德楼团委403室）交送书面的作品申报书（附件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仿宋_GB2312" w:cs="仿宋_GB2312"/>
          <w:sz w:val="32"/>
          <w:szCs w:val="32"/>
          <w:lang w:val="en-US"/>
        </w:rPr>
        <w:t>）及作品汇总登记表（附件1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仿宋_GB2312"/>
          <w:sz w:val="32"/>
          <w:szCs w:val="32"/>
          <w:lang w:val="en-US"/>
        </w:rPr>
        <w:t>），电子版发送至校科协邮箱</w:t>
      </w:r>
      <w:r>
        <w:rPr>
          <w:rFonts w:ascii="Times New Roman" w:hAnsi="Times New Roman" w:eastAsia="仿宋_GB2312"/>
        </w:rPr>
        <w:fldChar w:fldCharType="begin"/>
      </w:r>
      <w:r>
        <w:rPr>
          <w:rFonts w:ascii="Times New Roman" w:hAnsi="Times New Roman" w:eastAsia="仿宋_GB2312"/>
        </w:rPr>
        <w:instrText xml:space="preserve"> HYPERLINK "mailto:wutxskx@163.com。" </w:instrText>
      </w:r>
      <w:r>
        <w:rPr>
          <w:rFonts w:ascii="Times New Roman" w:hAnsi="Times New Roman" w:eastAsia="仿宋_GB2312"/>
        </w:rPr>
        <w:fldChar w:fldCharType="separate"/>
      </w:r>
      <w:r>
        <w:rPr>
          <w:rStyle w:val="13"/>
          <w:rFonts w:ascii="Times New Roman" w:hAnsi="Times New Roman" w:eastAsia="仿宋_GB2312" w:cs="仿宋_GB2312"/>
          <w:sz w:val="32"/>
          <w:szCs w:val="32"/>
          <w:lang w:val="en-US"/>
        </w:rPr>
        <w:t>wutxskx@163.com。</w:t>
      </w:r>
      <w:r>
        <w:rPr>
          <w:rStyle w:val="13"/>
          <w:rFonts w:ascii="Times New Roman" w:hAnsi="Times New Roman" w:eastAsia="仿宋_GB2312" w:cs="仿宋_GB2312"/>
          <w:sz w:val="32"/>
          <w:szCs w:val="32"/>
          <w:lang w:val="en-US"/>
        </w:rPr>
        <w:fldChar w:fldCharType="end"/>
      </w:r>
    </w:p>
    <w:p w14:paraId="4B8A5C55">
      <w:pPr>
        <w:spacing w:line="560" w:lineRule="exact"/>
        <w:ind w:firstLine="640" w:firstLineChars="200"/>
        <w:jc w:val="both"/>
        <w:rPr>
          <w:rFonts w:ascii="Times New Roman" w:hAnsi="Times New Roman" w:eastAsia="仿宋_GB2312" w:cs="Times New Roman"/>
          <w:color w:val="121212"/>
          <w:sz w:val="24"/>
          <w:szCs w:val="24"/>
          <w:lang w:eastAsia="zh-CN"/>
        </w:rPr>
      </w:pPr>
      <w:r>
        <w:rPr>
          <w:rFonts w:ascii="Times New Roman" w:hAnsi="Times New Roman" w:eastAsia="仿宋_GB2312" w:cs="仿宋_GB2312"/>
          <w:sz w:val="32"/>
          <w:szCs w:val="32"/>
          <w:lang w:val="en-US"/>
        </w:rPr>
        <w:t>2024年11月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/>
        </w:rPr>
        <w:t>中旬</w:t>
      </w:r>
      <w:r>
        <w:rPr>
          <w:rFonts w:ascii="Times New Roman" w:hAnsi="Times New Roman" w:eastAsia="仿宋_GB2312" w:cs="仿宋_GB2312"/>
          <w:sz w:val="32"/>
          <w:szCs w:val="32"/>
          <w:lang w:val="en-US"/>
        </w:rPr>
        <w:t>至2024年12月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/>
        </w:rPr>
        <w:t>中旬，校评审委员会对作品进行书面评审</w:t>
      </w:r>
      <w:r>
        <w:rPr>
          <w:rFonts w:ascii="Times New Roman" w:hAnsi="Times New Roman" w:eastAsia="仿宋_GB2312" w:cs="仿宋_GB2312"/>
          <w:sz w:val="32"/>
          <w:szCs w:val="32"/>
          <w:lang w:val="en-US"/>
        </w:rPr>
        <w:t>、对入围终审决赛项目进行公开答辩</w:t>
      </w:r>
      <w:r>
        <w:rPr>
          <w:rFonts w:hint="eastAsia" w:ascii="Times New Roman" w:hAnsi="Times New Roman" w:eastAsia="仿宋_GB2312" w:cs="仿宋_GB2312"/>
          <w:sz w:val="32"/>
          <w:szCs w:val="32"/>
          <w:lang w:val="en-US"/>
        </w:rPr>
        <w:t>。</w:t>
      </w:r>
      <w:bookmarkStart w:id="4" w:name="_GoBack"/>
      <w:bookmarkEnd w:id="4"/>
    </w:p>
    <w:sectPr>
      <w:footerReference r:id="rId3" w:type="default"/>
      <w:pgSz w:w="11900" w:h="16840" w:orient="landscape"/>
      <w:pgMar w:top="1588" w:right="1985" w:bottom="1588" w:left="1985" w:header="0" w:footer="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778E90">
    <w:pPr>
      <w:spacing w:line="14" w:lineRule="auto"/>
      <w:ind w:firstLine="40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5CF225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5CF225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2OGM1NTVhMWZkYzAxODEwYjA0ZDliMzMwYzM3NTAifQ=="/>
  </w:docVars>
  <w:rsids>
    <w:rsidRoot w:val="001702A0"/>
    <w:rsid w:val="0008749B"/>
    <w:rsid w:val="000B4058"/>
    <w:rsid w:val="001702A0"/>
    <w:rsid w:val="003B6CCC"/>
    <w:rsid w:val="004D5BA0"/>
    <w:rsid w:val="00513E0D"/>
    <w:rsid w:val="00687ED5"/>
    <w:rsid w:val="006F0BF2"/>
    <w:rsid w:val="007E056A"/>
    <w:rsid w:val="008975E3"/>
    <w:rsid w:val="008B5266"/>
    <w:rsid w:val="008D1A87"/>
    <w:rsid w:val="008F3263"/>
    <w:rsid w:val="009851E6"/>
    <w:rsid w:val="009E64A7"/>
    <w:rsid w:val="00BA2AD8"/>
    <w:rsid w:val="00C33D87"/>
    <w:rsid w:val="00C45DDA"/>
    <w:rsid w:val="00E41325"/>
    <w:rsid w:val="00E94BFC"/>
    <w:rsid w:val="00F428C8"/>
    <w:rsid w:val="00FC7821"/>
    <w:rsid w:val="00FD1A37"/>
    <w:rsid w:val="00FF201F"/>
    <w:rsid w:val="03B709A1"/>
    <w:rsid w:val="0937546B"/>
    <w:rsid w:val="17472287"/>
    <w:rsid w:val="19714C63"/>
    <w:rsid w:val="21B75F9F"/>
    <w:rsid w:val="290C5B03"/>
    <w:rsid w:val="33361556"/>
    <w:rsid w:val="42B7173D"/>
    <w:rsid w:val="44C5668A"/>
    <w:rsid w:val="54B72E43"/>
    <w:rsid w:val="6D6B315F"/>
    <w:rsid w:val="7874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outlineLvl w:val="0"/>
    </w:pPr>
    <w:rPr>
      <w:rFonts w:hint="eastAsia" w:ascii="宋体" w:hAnsi="宋体" w:eastAsia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20"/>
    <w:autoRedefine/>
    <w:unhideWhenUsed/>
    <w:qFormat/>
    <w:uiPriority w:val="9"/>
    <w:pPr>
      <w:keepNext/>
      <w:keepLines/>
      <w:kinsoku/>
      <w:autoSpaceDE/>
      <w:autoSpaceDN/>
      <w:adjustRightInd/>
      <w:snapToGrid/>
      <w:ind w:firstLine="640" w:firstLineChars="200"/>
      <w:jc w:val="both"/>
      <w:textAlignment w:val="auto"/>
      <w:outlineLvl w:val="1"/>
    </w:pPr>
    <w:rPr>
      <w:rFonts w:ascii="黑体" w:hAnsi="黑体" w:eastAsia="黑体" w:cs="Times New Roman"/>
      <w:snapToGrid/>
      <w:color w:val="auto"/>
      <w:sz w:val="32"/>
      <w:szCs w:val="22"/>
      <w:lang w:val="en-GB" w:eastAsia="zh-CN"/>
    </w:rPr>
  </w:style>
  <w:style w:type="paragraph" w:styleId="4">
    <w:name w:val="heading 3"/>
    <w:basedOn w:val="1"/>
    <w:next w:val="1"/>
    <w:link w:val="21"/>
    <w:autoRedefine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autoRedefine/>
    <w:qFormat/>
    <w:uiPriority w:val="0"/>
  </w:style>
  <w:style w:type="paragraph" w:styleId="6">
    <w:name w:val="Body Text"/>
    <w:basedOn w:val="1"/>
    <w:autoRedefine/>
    <w:semiHidden/>
    <w:qFormat/>
    <w:uiPriority w:val="0"/>
    <w:rPr>
      <w:rFonts w:ascii="微软雅黑" w:hAnsi="微软雅黑" w:eastAsia="微软雅黑" w:cs="微软雅黑"/>
      <w:sz w:val="30"/>
      <w:szCs w:val="30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1">
    <w:name w:val="Table Grid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13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autoRedefine/>
    <w:qFormat/>
    <w:uiPriority w:val="0"/>
    <w:rPr>
      <w:sz w:val="21"/>
      <w:szCs w:val="21"/>
    </w:rPr>
  </w:style>
  <w:style w:type="table" w:customStyle="1" w:styleId="15">
    <w:name w:val="Table Normal1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Table Text"/>
    <w:basedOn w:val="1"/>
    <w:autoRedefine/>
    <w:semiHidden/>
    <w:qFormat/>
    <w:uiPriority w:val="0"/>
  </w:style>
  <w:style w:type="character" w:customStyle="1" w:styleId="17">
    <w:name w:val="页眉 字符"/>
    <w:basedOn w:val="12"/>
    <w:link w:val="8"/>
    <w:autoRedefine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8">
    <w:name w:val="页脚 字符"/>
    <w:basedOn w:val="12"/>
    <w:link w:val="7"/>
    <w:autoRedefine/>
    <w:qFormat/>
    <w:uiPriority w:val="99"/>
    <w:rPr>
      <w:rFonts w:eastAsia="Arial"/>
      <w:snapToGrid w:val="0"/>
      <w:color w:val="000000"/>
      <w:sz w:val="18"/>
      <w:szCs w:val="18"/>
      <w:lang w:eastAsia="en-US"/>
    </w:rPr>
  </w:style>
  <w:style w:type="paragraph" w:customStyle="1" w:styleId="19">
    <w:name w:val="列表段落1"/>
    <w:basedOn w:val="1"/>
    <w:autoRedefine/>
    <w:unhideWhenUsed/>
    <w:qFormat/>
    <w:uiPriority w:val="34"/>
    <w:pPr>
      <w:ind w:firstLine="420" w:firstLineChars="200"/>
    </w:pPr>
  </w:style>
  <w:style w:type="character" w:customStyle="1" w:styleId="20">
    <w:name w:val="标题 2 字符"/>
    <w:basedOn w:val="12"/>
    <w:link w:val="3"/>
    <w:autoRedefine/>
    <w:qFormat/>
    <w:uiPriority w:val="9"/>
    <w:rPr>
      <w:rFonts w:ascii="黑体" w:hAnsi="黑体" w:eastAsia="黑体" w:cs="Times New Roman"/>
      <w:sz w:val="32"/>
      <w:szCs w:val="22"/>
      <w:lang w:val="en-GB"/>
    </w:rPr>
  </w:style>
  <w:style w:type="character" w:customStyle="1" w:styleId="21">
    <w:name w:val="标题 3 字符"/>
    <w:basedOn w:val="12"/>
    <w:link w:val="4"/>
    <w:autoRedefine/>
    <w:qFormat/>
    <w:uiPriority w:val="0"/>
    <w:rPr>
      <w:rFonts w:eastAsia="Arial"/>
      <w:b/>
      <w:bCs/>
      <w:snapToGrid w:val="0"/>
      <w:color w:val="000000"/>
      <w:sz w:val="32"/>
      <w:szCs w:val="32"/>
      <w:lang w:eastAsia="en-US"/>
    </w:rPr>
  </w:style>
  <w:style w:type="paragraph" w:customStyle="1" w:styleId="22">
    <w:name w:val="Char"/>
    <w:basedOn w:val="1"/>
    <w:autoRedefine/>
    <w:qFormat/>
    <w:uiPriority w:val="0"/>
    <w:pPr>
      <w:widowControl w:val="0"/>
      <w:kinsoku/>
      <w:autoSpaceDE/>
      <w:autoSpaceDN/>
      <w:adjustRightInd/>
      <w:snapToGrid/>
      <w:jc w:val="both"/>
      <w:textAlignment w:val="auto"/>
    </w:pPr>
    <w:rPr>
      <w:rFonts w:ascii="Times New Roman" w:hAnsi="Times New Roman" w:eastAsia="宋体" w:cs="Times New Roman"/>
      <w:color w:val="auto"/>
      <w:kern w:val="2"/>
      <w:szCs w:val="20"/>
      <w:lang w:eastAsia="zh-CN"/>
    </w:rPr>
  </w:style>
  <w:style w:type="character" w:customStyle="1" w:styleId="23">
    <w:name w:val="批注文字 字符"/>
    <w:basedOn w:val="12"/>
    <w:link w:val="5"/>
    <w:autoRedefine/>
    <w:qFormat/>
    <w:uiPriority w:val="0"/>
    <w:rPr>
      <w:rFonts w:eastAsia="Arial"/>
      <w:snapToGrid w:val="0"/>
      <w:color w:val="000000"/>
      <w:sz w:val="21"/>
      <w:szCs w:val="21"/>
      <w:lang w:eastAsia="en-US"/>
    </w:rPr>
  </w:style>
  <w:style w:type="character" w:customStyle="1" w:styleId="24">
    <w:name w:val="批注主题 字符"/>
    <w:basedOn w:val="23"/>
    <w:link w:val="9"/>
    <w:autoRedefine/>
    <w:qFormat/>
    <w:uiPriority w:val="0"/>
    <w:rPr>
      <w:rFonts w:eastAsia="Arial"/>
      <w:b/>
      <w:bCs/>
      <w:snapToGrid w:val="0"/>
      <w:color w:val="000000"/>
      <w:sz w:val="21"/>
      <w:szCs w:val="21"/>
      <w:lang w:eastAsia="en-US"/>
    </w:rPr>
  </w:style>
  <w:style w:type="character" w:customStyle="1" w:styleId="25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2420</Words>
  <Characters>3216</Characters>
  <Lines>24</Lines>
  <Paragraphs>6</Paragraphs>
  <TotalTime>0</TotalTime>
  <ScaleCrop>false</ScaleCrop>
  <LinksUpToDate>false</LinksUpToDate>
  <CharactersWithSpaces>3222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2024-09-25T01:25:00Z</dcterms:created>
  <dc:creator>张 帆</dc:creator>
  <cp:lastModifiedBy>金阳</cp:lastModifiedBy>
  <dcterms:modified xsi:type="dcterms:W3CDTF">2024-09-25T08:51:56Z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2024-02-23T16:13:00Z</vt:filetime>
  </property>
  <property fmtid="{D5CDD505-2E9C-101B-9397-08002B2CF9AE}" pid="4" name="KSOProductBuildVer">
    <vt:lpwstr>2052-12.1.0.17827</vt:lpwstr>
  </property>
  <property fmtid="{D5CDD505-2E9C-101B-9397-08002B2CF9AE}" pid="5" name="ICV">
    <vt:lpwstr>0B2258D423BD451B919834FE37564314_13</vt:lpwstr>
  </property>
</Properties>
</file>