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C29CC7">
      <w:pPr>
        <w:pStyle w:val="2"/>
        <w:spacing w:beforeAutospacing="0" w:afterAutospacing="0" w:line="560" w:lineRule="exact"/>
        <w:rPr>
          <w:rFonts w:hint="default" w:ascii="Times New Roman" w:hAnsi="Times New Roman" w:eastAsia="仿宋_GB2312"/>
          <w:b w:val="0"/>
          <w:bCs w:val="0"/>
          <w:sz w:val="32"/>
          <w:szCs w:val="32"/>
        </w:rPr>
      </w:pPr>
      <w:r>
        <w:rPr>
          <w:rFonts w:hint="default" w:ascii="Times New Roman" w:hAnsi="Times New Roman" w:eastAsia="仿宋_GB2312"/>
          <w:b w:val="0"/>
          <w:bCs w:val="0"/>
          <w:sz w:val="32"/>
          <w:szCs w:val="32"/>
        </w:rPr>
        <w:t>题目1</w:t>
      </w:r>
      <w:r>
        <w:rPr>
          <w:rFonts w:ascii="Times New Roman" w:hAnsi="Times New Roman" w:eastAsia="仿宋_GB2312"/>
          <w:b w:val="0"/>
          <w:bCs w:val="0"/>
          <w:sz w:val="32"/>
          <w:szCs w:val="32"/>
        </w:rPr>
        <w:t>2：</w:t>
      </w:r>
    </w:p>
    <w:p w14:paraId="580548FF">
      <w:pPr>
        <w:pStyle w:val="2"/>
        <w:spacing w:beforeAutospacing="0" w:afterAutospacing="0"/>
        <w:jc w:val="center"/>
        <w:rPr>
          <w:rFonts w:hint="default" w:ascii="Times New Roman" w:hAnsi="Times New Roman" w:eastAsia="方正小标宋简体"/>
          <w:b w:val="0"/>
          <w:bCs w:val="0"/>
          <w:sz w:val="44"/>
          <w:szCs w:val="32"/>
        </w:rPr>
      </w:pPr>
      <w:r>
        <w:rPr>
          <w:rFonts w:ascii="Times New Roman" w:hAnsi="Times New Roman" w:eastAsia="方正小标宋简体"/>
          <w:b w:val="0"/>
          <w:bCs w:val="0"/>
          <w:sz w:val="44"/>
          <w:szCs w:val="32"/>
        </w:rPr>
        <w:t>“量电融合，共创未来——量子经典混合算法的应用探索”比赛方案</w:t>
      </w:r>
    </w:p>
    <w:p w14:paraId="5DCE3C25">
      <w:pPr>
        <w:jc w:val="center"/>
        <w:rPr>
          <w:rFonts w:eastAsia="楷体_GB2312" w:cs="楷体_GB2312"/>
          <w:color w:val="000000" w:themeColor="text1"/>
          <w:sz w:val="32"/>
          <w:szCs w:val="32"/>
          <w:lang w:val="en-US"/>
          <w14:textFill>
            <w14:solidFill>
              <w14:schemeClr w14:val="tx1"/>
            </w14:solidFill>
          </w14:textFill>
        </w:rPr>
      </w:pPr>
      <w:r>
        <w:rPr>
          <w:rFonts w:hint="eastAsia" w:eastAsia="楷体_GB2312" w:cs="楷体_GB2312"/>
          <w:color w:val="000000" w:themeColor="text1"/>
          <w:sz w:val="32"/>
          <w:szCs w:val="32"/>
          <w:lang w:val="en-US"/>
          <w14:textFill>
            <w14:solidFill>
              <w14:schemeClr w14:val="tx1"/>
            </w14:solidFill>
          </w14:textFill>
        </w:rPr>
        <w:t>（量子科技长三角产业创新中心）</w:t>
      </w:r>
    </w:p>
    <w:p w14:paraId="4BE64BA8">
      <w:pPr>
        <w:pStyle w:val="3"/>
        <w:ind w:left="640"/>
        <w:jc w:val="both"/>
        <w:rPr>
          <w:rFonts w:ascii="Times New Roman" w:hAnsi="Times New Roman" w:eastAsia="方正黑体_GBK"/>
          <w:color w:val="000000" w:themeColor="text1"/>
          <w:lang w:val="en-US"/>
          <w14:textFill>
            <w14:solidFill>
              <w14:schemeClr w14:val="tx1"/>
            </w14:solidFill>
          </w14:textFill>
        </w:rPr>
      </w:pPr>
    </w:p>
    <w:p w14:paraId="5CF13B4E">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一、出题</w:t>
      </w:r>
      <w:r>
        <w:rPr>
          <w:rFonts w:ascii="黑体" w:hAnsi="黑体" w:eastAsia="黑体"/>
          <w:lang w:val="en-US"/>
        </w:rPr>
        <w:t>单位</w:t>
      </w:r>
    </w:p>
    <w:p w14:paraId="2D7CFFE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量子科技长三角产业创新中心</w:t>
      </w:r>
    </w:p>
    <w:p w14:paraId="2F72B962">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二、</w:t>
      </w:r>
      <w:r>
        <w:rPr>
          <w:rFonts w:ascii="黑体" w:hAnsi="黑体" w:eastAsia="黑体"/>
          <w:lang w:val="en-US"/>
        </w:rPr>
        <w:t>题目名称</w:t>
      </w:r>
    </w:p>
    <w:p w14:paraId="5F3EA45D">
      <w:pPr>
        <w:spacing w:line="560" w:lineRule="exact"/>
        <w:ind w:firstLine="640" w:firstLineChars="200"/>
        <w:jc w:val="both"/>
        <w:rPr>
          <w:rFonts w:eastAsia="方正仿宋_GBK"/>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量电融合，共创未来——量子经典混合算法的应用探索</w:t>
      </w:r>
    </w:p>
    <w:p w14:paraId="013473BB">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三、</w:t>
      </w:r>
      <w:r>
        <w:rPr>
          <w:rFonts w:ascii="黑体" w:hAnsi="黑体" w:eastAsia="黑体"/>
          <w:lang w:val="en-US"/>
        </w:rPr>
        <w:t>题目</w:t>
      </w:r>
      <w:r>
        <w:rPr>
          <w:rFonts w:hint="eastAsia" w:ascii="黑体" w:hAnsi="黑体" w:eastAsia="黑体"/>
          <w:lang w:val="en-US"/>
        </w:rPr>
        <w:t>介绍</w:t>
      </w:r>
    </w:p>
    <w:p w14:paraId="54488EA5">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量子计算在中国未来科技发展中扮演着关键角色。习近平总书记多次强调量子科技的战略意义，并指出通过调控量子世界，将推动信息、能源、材料科学的发展，引领新的产业革命。党的十九大和二十大报告明确将量子科技列为重点领域，凸显其对国家竞争力的重要意义。今年，工信部等七部门联合印发的《关于推动未来产业创新发展的实施意见》中更是将量子计算机列为未来高端装备中的创新标志性产品。政府支持和政策引导将深刻影响量子计算的研究、发展和产业化，助推我国在全球量子科技领域实现更为突出的成就。</w:t>
      </w:r>
    </w:p>
    <w:p w14:paraId="7E95353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尽管量子计算具备巨大潜力，却面临着一系列挑战，包括量子比特的稳定性、错误纠正等问题，制约了像Shor、Grover、QFT等纯量子算法在实际应用中的广泛使用。当下量子计算仍受到硬件和技术的限制，使得实现大规模、深层次线路的量子计算变得艰难。为了克服这些局限性，需要不断投入研究和创新，以实现量子计算的可靠性和可扩展性。</w:t>
      </w:r>
    </w:p>
    <w:p w14:paraId="3D28870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量子经典混合算法崭露头角成为当下可行的解决方案。混合算法巧妙结合了经典算法和量子算法的优势，能够有效规避纯量子算法在大规模深层次线路上的弱点，使其在当前中等规模、含噪声的量子时代发挥重要作用。这类算法能够有效解决实际问题，为各个领域提供创新性解决方案。混合算法的不断发展有望为实际问题的解决提供更为有效的途径，推动量子计算技术的进一步发展，有助于我国在量子计算领域取得领先地位。</w:t>
      </w:r>
    </w:p>
    <w:p w14:paraId="56D0186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本题目以量子经典混合算法的优势应用探索为主要内容，将通过量子计算云平台，开放目前国内先进的超导量子计算机和相干光量子计算机硬件和经典计算集群供参赛的青年学子使用，鼓励选手通过量子经典混合算法，使用量子计算结合传统计算能力探索各行业的优势应用解决方案，开发相关程序和软件。所有对量子计算感兴趣、具备基本编程能力的开发者均可参加报名。</w:t>
      </w:r>
    </w:p>
    <w:p w14:paraId="084484C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参赛者可在包括但不限于以下几个方向中选取自己感兴趣的题目：</w:t>
      </w:r>
    </w:p>
    <w:p w14:paraId="47A78975">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1.量子+金融。</w:t>
      </w:r>
      <w:r>
        <w:rPr>
          <w:rFonts w:eastAsia="仿宋_GB2312" w:cs="仿宋_GB2312"/>
          <w:color w:val="000000" w:themeColor="text1"/>
          <w:sz w:val="32"/>
          <w:szCs w:val="32"/>
          <w:lang w:val="en-US"/>
          <w14:textFill>
            <w14:solidFill>
              <w14:schemeClr w14:val="tx1"/>
            </w14:solidFill>
          </w14:textFill>
        </w:rPr>
        <w:t>金融市场中通常面对许多复杂的数学问题，如期权定价、投资组合优化、欺诈检测等问题。如量子振幅放大估计、量子虚时演化方法，Grover自适应搜索方法等传统纯量子算法在上述问题中都给出了相对于传统方法平方甚至指数级加速效果。然而由于纯量子算法线路的门深度和比特规模随问题规模或精度要求可能</w:t>
      </w:r>
      <w:r>
        <w:rPr>
          <w:rFonts w:hint="eastAsia" w:eastAsia="仿宋_GB2312" w:cs="仿宋_GB2312"/>
          <w:color w:val="000000" w:themeColor="text1"/>
          <w:sz w:val="32"/>
          <w:szCs w:val="32"/>
          <w:lang w:val="en-US"/>
          <w14:textFill>
            <w14:solidFill>
              <w14:schemeClr w14:val="tx1"/>
            </w14:solidFill>
          </w14:textFill>
        </w:rPr>
        <w:t>呈现为</w:t>
      </w:r>
      <w:r>
        <w:rPr>
          <w:rFonts w:eastAsia="仿宋_GB2312" w:cs="仿宋_GB2312"/>
          <w:color w:val="000000" w:themeColor="text1"/>
          <w:sz w:val="32"/>
          <w:szCs w:val="32"/>
          <w:lang w:val="en-US"/>
          <w14:textFill>
            <w14:solidFill>
              <w14:schemeClr w14:val="tx1"/>
            </w14:solidFill>
          </w14:textFill>
        </w:rPr>
        <w:t>指数级扩大的特征，距离真实商用场景较为遥远。通过结合经典计算机，使用较浅的量子线路的变分量子算法，或使用专用的相干光量子计算机的QUBO算法，助力量子应用在金融行业中的场景落地。</w:t>
      </w:r>
    </w:p>
    <w:p w14:paraId="0151374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2.量子+大健康。量子计算的出现为大健康领域中药物辅助治疗、数字医疗诊断等领域提供了新的解决办法。</w:t>
      </w:r>
      <w:r>
        <w:rPr>
          <w:rFonts w:eastAsia="仿宋_GB2312" w:cs="仿宋_GB2312"/>
          <w:color w:val="000000" w:themeColor="text1"/>
          <w:sz w:val="32"/>
          <w:szCs w:val="32"/>
          <w:lang w:val="en-US"/>
          <w14:textFill>
            <w14:solidFill>
              <w14:schemeClr w14:val="tx1"/>
            </w14:solidFill>
          </w14:textFill>
        </w:rPr>
        <w:t>以</w:t>
      </w:r>
      <w:r>
        <w:rPr>
          <w:rFonts w:hint="eastAsia" w:eastAsia="仿宋_GB2312" w:cs="仿宋_GB2312"/>
          <w:color w:val="000000" w:themeColor="text1"/>
          <w:sz w:val="32"/>
          <w:szCs w:val="32"/>
          <w:lang w:val="en-US"/>
          <w14:textFill>
            <w14:solidFill>
              <w14:schemeClr w14:val="tx1"/>
            </w14:solidFill>
          </w14:textFill>
        </w:rPr>
        <w:t>医药辅助设计中的</w:t>
      </w:r>
      <w:r>
        <w:rPr>
          <w:rFonts w:eastAsia="仿宋_GB2312" w:cs="仿宋_GB2312"/>
          <w:color w:val="000000" w:themeColor="text1"/>
          <w:sz w:val="32"/>
          <w:szCs w:val="32"/>
          <w:lang w:val="en-US"/>
          <w14:textFill>
            <w14:solidFill>
              <w14:schemeClr w14:val="tx1"/>
            </w14:solidFill>
          </w14:textFill>
        </w:rPr>
        <w:t>药物分子模拟为例，受限于</w:t>
      </w:r>
      <w:r>
        <w:rPr>
          <w:rFonts w:hint="eastAsia" w:eastAsia="仿宋_GB2312" w:cs="仿宋_GB2312"/>
          <w:color w:val="000000" w:themeColor="text1"/>
          <w:sz w:val="32"/>
          <w:szCs w:val="32"/>
          <w:lang w:val="en-US"/>
          <w14:textFill>
            <w14:solidFill>
              <w14:schemeClr w14:val="tx1"/>
            </w14:solidFill>
          </w14:textFill>
        </w:rPr>
        <w:t>当前</w:t>
      </w:r>
      <w:r>
        <w:rPr>
          <w:rFonts w:eastAsia="仿宋_GB2312" w:cs="仿宋_GB2312"/>
          <w:color w:val="000000" w:themeColor="text1"/>
          <w:sz w:val="32"/>
          <w:szCs w:val="32"/>
          <w:lang w:val="en-US"/>
          <w14:textFill>
            <w14:solidFill>
              <w14:schemeClr w14:val="tx1"/>
            </w14:solidFill>
          </w14:textFill>
        </w:rPr>
        <w:t>量子计算机规模，当下的量子算法仅能对简单结构的小分子进行模拟，与实际问题仍有不小距离。</w:t>
      </w:r>
      <w:r>
        <w:rPr>
          <w:rFonts w:hint="eastAsia" w:eastAsia="仿宋_GB2312" w:cs="仿宋_GB2312"/>
          <w:color w:val="000000" w:themeColor="text1"/>
          <w:sz w:val="32"/>
          <w:szCs w:val="32"/>
          <w:lang w:val="en-US"/>
          <w14:textFill>
            <w14:solidFill>
              <w14:schemeClr w14:val="tx1"/>
            </w14:solidFill>
          </w14:textFill>
        </w:rPr>
        <w:t>又例如，在数字医疗诊断中量子支持向量机方法、量子最近邻方法等算法在检测异常健康数据、智慧医疗诊断等问题中表现出了相较经典方法指数级加速的潜力，同样受限于当下量子硬件规模问题而无法商用。</w:t>
      </w:r>
      <w:r>
        <w:rPr>
          <w:rFonts w:eastAsia="仿宋_GB2312" w:cs="仿宋_GB2312"/>
          <w:color w:val="000000" w:themeColor="text1"/>
          <w:sz w:val="32"/>
          <w:szCs w:val="32"/>
          <w:lang w:val="en-US"/>
          <w14:textFill>
            <w14:solidFill>
              <w14:schemeClr w14:val="tx1"/>
            </w14:solidFill>
          </w14:textFill>
        </w:rPr>
        <w:t>通过使用变分量子算法和机器学习方法等结合的技术手段，</w:t>
      </w:r>
      <w:r>
        <w:rPr>
          <w:rFonts w:hint="eastAsia" w:eastAsia="仿宋_GB2312" w:cs="仿宋_GB2312"/>
          <w:color w:val="000000" w:themeColor="text1"/>
          <w:sz w:val="32"/>
          <w:szCs w:val="32"/>
          <w:lang w:val="en-US"/>
          <w14:textFill>
            <w14:solidFill>
              <w14:schemeClr w14:val="tx1"/>
            </w14:solidFill>
          </w14:textFill>
        </w:rPr>
        <w:t>在降低量子线路要求的同时，尝试解决上述药物分子模拟或医疗诊断领域的一些有实用价值的问题，或设计并论证新算法较原有算法在硬件资源性能指标需求上的优势，或使用专用的相干光量子计算机硬件进行求解，促进</w:t>
      </w:r>
      <w:r>
        <w:rPr>
          <w:rFonts w:eastAsia="仿宋_GB2312" w:cs="仿宋_GB2312"/>
          <w:color w:val="000000" w:themeColor="text1"/>
          <w:sz w:val="32"/>
          <w:szCs w:val="32"/>
          <w:lang w:val="en-US"/>
          <w14:textFill>
            <w14:solidFill>
              <w14:schemeClr w14:val="tx1"/>
            </w14:solidFill>
          </w14:textFill>
        </w:rPr>
        <w:t>量子计算机</w:t>
      </w:r>
      <w:r>
        <w:rPr>
          <w:rFonts w:hint="eastAsia" w:eastAsia="仿宋_GB2312" w:cs="仿宋_GB2312"/>
          <w:color w:val="000000" w:themeColor="text1"/>
          <w:sz w:val="32"/>
          <w:szCs w:val="32"/>
          <w:lang w:val="en-US"/>
          <w14:textFill>
            <w14:solidFill>
              <w14:schemeClr w14:val="tx1"/>
            </w14:solidFill>
          </w14:textFill>
        </w:rPr>
        <w:t>对具有</w:t>
      </w:r>
      <w:r>
        <w:rPr>
          <w:rFonts w:eastAsia="仿宋_GB2312" w:cs="仿宋_GB2312"/>
          <w:color w:val="000000" w:themeColor="text1"/>
          <w:sz w:val="32"/>
          <w:szCs w:val="32"/>
          <w:lang w:val="en-US"/>
          <w14:textFill>
            <w14:solidFill>
              <w14:schemeClr w14:val="tx1"/>
            </w14:solidFill>
          </w14:textFill>
        </w:rPr>
        <w:t>实际商用价值的</w:t>
      </w:r>
      <w:r>
        <w:rPr>
          <w:rFonts w:hint="eastAsia" w:eastAsia="仿宋_GB2312" w:cs="仿宋_GB2312"/>
          <w:color w:val="000000" w:themeColor="text1"/>
          <w:sz w:val="32"/>
          <w:szCs w:val="32"/>
          <w:lang w:val="en-US"/>
          <w14:textFill>
            <w14:solidFill>
              <w14:schemeClr w14:val="tx1"/>
            </w14:solidFill>
          </w14:textFill>
        </w:rPr>
        <w:t>大健康领域问题的解决。</w:t>
      </w:r>
    </w:p>
    <w:p w14:paraId="23C3711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量子+人工智能。近些年，人工智能在图像识别，自然语言处理等问题上都有广泛的应用，量子计算的出现给机器学习提供了新的基础模型，如QNN、QCNN等，量子机器学习模型和传统机器学习模型的结合在各领域的应用引起广泛探索；同时随着GPT的问世，以Transformer为基础构型的各类大模型也快速涌现。探索量子计算与人工智能结合在矩阵计算中的计算速度优势对各类机器学习模型可能的训练加速效果。</w:t>
      </w:r>
    </w:p>
    <w:p w14:paraId="1BD683AF">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量子+网络。量子算法的出现可能在网络通信安全、网络调度等方面改变当下的网络格局。通信安全方面，现在广泛使用的加密算法依赖于大整数质因数分解，椭圆曲线离散对数问题求解等数学问题的困难性，经典计算机的算力无法在多项式时间内破解现代密码体系。量子计算机通过Shor算法、Grover算法等方法已经展示了对传统密码体系的威胁。网络调度方面，量子近似优化算法（QAOA）、Grover搜索算法、量子神经网络等方法在解决网络调度中路径选择、资源分配、异常数据检测等方面表现出了至少平方级的加速能力。上述算法由于量子硬件规模问题，和商用仍有距离。探索变分量子算法在网络领域的应用，设计用于加密攻击的量子经典混合算法，并论证现有密码体制在各种算法攻击下的极限安全性，或设计用于解决大规模网络资源高效管控调度的算法；或设计适用于专用的相干光量子计算机硬件的算法，促进量子计算真正为大规模网络的安全稳定运行与管控调度服务赋能。</w:t>
      </w:r>
    </w:p>
    <w:p w14:paraId="0F868703">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5.量子+材料。量子计算在材料领域的应用展现了其在材料设计与优化方面的潜力。传统计算机在处理复杂的电子结构和材料特性预测时面临计算复杂性的挑战，而引入量子计算为这些问题提供了全新的解决途径。以电子结构计算为例，量子算法在模拟分子和材料的电子态时，能够更准确地捕捉电子之间的相互作用和相关性。然而，由于当前量子计算机规模的限制，针对大规模材料的精确模拟仍然是一个挑战。通过采用变分量子算法、量子机器学习和融合相关经典算法等技术手段，有效降低对量子线路的深度和比特数目的要求，提高对大型分子和复杂材料系统的模拟规模和模拟精度，促进高效率光电转换、高储能比等新型实用材料的研发。</w:t>
      </w:r>
    </w:p>
    <w:p w14:paraId="36F6434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6.量子+其它。物流优化、工业制造、博弈、气象预测等其他通过结合经典计算机和量子计算机的可能产生超越经典计算的优势应用场景。</w:t>
      </w:r>
    </w:p>
    <w:p w14:paraId="20802AC4">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7.高效率量子计算模拟器。当下量子计算机仍处于初期发展阶段，基于经典计算机的量子模拟器可以给出量子计算机运行结果的理论参考，从而在量子算法研究中有着举足轻重的地位。探索含噪声的量子模拟器开发，以更准确的模拟算法在真实量子硬件中的运算结果；探索张量网络等技术在量子模拟器中的应用，以更少的资源量模拟更大规模的多体量子系统；探索线路切割技术，将大规模量子线路分解成更小且易于管理的部分，更好地适应不同计算环境和硬件限制；探索线路编译技术，使算法适应各种物理架构的量子芯片并降低量子门深度；以及任何其他可以改进量子算法、量子模拟器运行效率的算法或程序软件。</w:t>
      </w:r>
    </w:p>
    <w:p w14:paraId="6FF557E6">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四、</w:t>
      </w:r>
      <w:r>
        <w:rPr>
          <w:rFonts w:ascii="黑体" w:hAnsi="黑体" w:eastAsia="黑体"/>
          <w:lang w:val="en-US"/>
        </w:rPr>
        <w:t>参赛对象</w:t>
      </w:r>
    </w:p>
    <w:p w14:paraId="323A0353">
      <w:pPr>
        <w:spacing w:line="560" w:lineRule="exact"/>
        <w:ind w:firstLine="640" w:firstLineChars="200"/>
        <w:rPr>
          <w:rFonts w:eastAsia="仿宋_GB2312" w:cs="仿宋_GB2312"/>
          <w:sz w:val="32"/>
          <w:szCs w:val="32"/>
          <w:lang w:val="en-US"/>
        </w:rPr>
      </w:pPr>
      <w:bookmarkStart w:id="0" w:name="_Hlk177805560"/>
      <w:r>
        <w:rPr>
          <w:rFonts w:hint="eastAsia" w:eastAsia="仿宋_GB2312" w:cs="仿宋_GB2312"/>
          <w:sz w:val="32"/>
          <w:szCs w:val="32"/>
          <w:lang w:val="en-US"/>
        </w:rPr>
        <w:t>2024年6月1日以前正式注册的全日制非成人教育的在校本科生、硕士研究生（不含在职研究生）均可申报作品参赛，以个人或团队形式参赛均可，每个团队不超过10人（含作品申报者），每件作品可由不超过3名教师指导完成。可以跨专业、跨学院组队，所属单位以学生负责人所在院系认定。</w:t>
      </w:r>
    </w:p>
    <w:p w14:paraId="769E48DD">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本校硕博连读生（直博生）若在2024年6月1日以前未通过博士资格考试的，可以按研究生学历申报作品。没有实行资格考试制度的学校，前两年可以按硕士学历申报作品。本硕博连读生，按照四年、两年分别对应本、硕申报，后续则不可申报。</w:t>
      </w:r>
    </w:p>
    <w:p w14:paraId="315E2B97">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毕业设计和课程设计（论文）、学年论文和学位论文、国际竞赛中获奖的作品、获国家级奖励成果（含本竞赛主办单位参与举办的其他全国性竞赛的获奖作品）等均不在申报范围之列。</w:t>
      </w:r>
    </w:p>
    <w:p w14:paraId="04BB0984">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每件作品仅可由1个学院推报，学院在推报前要对参赛团队成员及作品进行相关资格审查。</w:t>
      </w:r>
    </w:p>
    <w:p w14:paraId="1668AF46">
      <w:pPr>
        <w:spacing w:line="560" w:lineRule="exact"/>
        <w:ind w:firstLine="640" w:firstLineChars="200"/>
        <w:rPr>
          <w:rFonts w:eastAsia="仿宋_GB2312" w:cs="仿宋_GB2312"/>
          <w:sz w:val="32"/>
          <w:szCs w:val="32"/>
          <w:lang w:val="en-US"/>
        </w:rPr>
      </w:pPr>
      <w:r>
        <w:rPr>
          <w:rFonts w:hint="eastAsia" w:eastAsia="仿宋_GB2312" w:cs="仿宋_GB2312"/>
          <w:sz w:val="32"/>
          <w:szCs w:val="32"/>
          <w:lang w:val="en-US"/>
        </w:rPr>
        <w:t>每个学院选送参加专项赛的作品数量不设限制，同一作品不得同时参加第二十四届“创新杯”大学生课外学术科技作品竞赛和第二十四届“创新杯”</w:t>
      </w:r>
      <w:r>
        <w:rPr>
          <w:rFonts w:eastAsia="仿宋_GB2312"/>
          <w:color w:val="333333"/>
          <w:sz w:val="32"/>
          <w:szCs w:val="28"/>
          <w:shd w:val="clear" w:color="auto" w:fill="FFFFFF"/>
          <w:lang w:bidi="ar"/>
        </w:rPr>
        <w:t>大学生创业计划竞赛</w:t>
      </w:r>
      <w:r>
        <w:rPr>
          <w:rFonts w:hint="eastAsia" w:eastAsia="仿宋_GB2312" w:cs="仿宋_GB2312"/>
          <w:sz w:val="32"/>
          <w:szCs w:val="32"/>
          <w:lang w:val="en-US"/>
        </w:rPr>
        <w:t>。已参加第十九届“挑战杯”全国大学生课外学术科技作品竞赛2024年度“揭榜挂帅”专项赛的作品可以继续参加第二十四届“创新杯”揭榜挂帅专项赛。</w:t>
      </w:r>
    </w:p>
    <w:bookmarkEnd w:id="0"/>
    <w:p w14:paraId="4918CB40">
      <w:pPr>
        <w:pStyle w:val="3"/>
        <w:spacing w:line="240" w:lineRule="auto"/>
        <w:ind w:firstLine="640" w:firstLineChars="200"/>
        <w:jc w:val="both"/>
        <w:rPr>
          <w:rFonts w:hint="eastAsia" w:ascii="黑体" w:hAnsi="黑体" w:eastAsia="黑体"/>
          <w:lang w:val="en-US"/>
        </w:rPr>
      </w:pPr>
      <w:r>
        <w:rPr>
          <w:rFonts w:hint="eastAsia" w:ascii="黑体" w:hAnsi="黑体" w:eastAsia="黑体"/>
          <w:lang w:val="en-US"/>
        </w:rPr>
        <w:t>五、</w:t>
      </w:r>
      <w:r>
        <w:rPr>
          <w:rFonts w:ascii="黑体" w:hAnsi="黑体" w:eastAsia="黑体"/>
          <w:lang w:val="en-US"/>
        </w:rPr>
        <w:t>答题要求</w:t>
      </w:r>
    </w:p>
    <w:p w14:paraId="573A2047">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eastAsia="仿宋_GB2312" w:cs="仿宋_GB2312"/>
          <w:color w:val="000000" w:themeColor="text1"/>
          <w:sz w:val="32"/>
          <w:szCs w:val="32"/>
          <w:lang w:val="en-US"/>
          <w14:textFill>
            <w14:solidFill>
              <w14:schemeClr w14:val="tx1"/>
            </w14:solidFill>
          </w14:textFill>
        </w:rPr>
        <w:t>根据选题情况作品主要涵盖以下要求：</w:t>
      </w:r>
    </w:p>
    <w:p w14:paraId="6BF52F50">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具备创新性和原创性，独立设计并完成开发，未与</w:t>
      </w:r>
      <w:r>
        <w:rPr>
          <w:rFonts w:hint="eastAsia" w:eastAsia="仿宋_GB2312" w:cs="仿宋_GB2312"/>
          <w:color w:val="000000" w:themeColor="text1"/>
          <w:sz w:val="32"/>
          <w:szCs w:val="32"/>
          <w:lang w:val="en-US"/>
          <w14:textFill>
            <w14:solidFill>
              <w14:schemeClr w14:val="tx1"/>
            </w14:solidFill>
          </w14:textFill>
        </w:rPr>
        <w:t>其他</w:t>
      </w:r>
      <w:r>
        <w:rPr>
          <w:rFonts w:eastAsia="仿宋_GB2312" w:cs="仿宋_GB2312"/>
          <w:color w:val="000000" w:themeColor="text1"/>
          <w:sz w:val="32"/>
          <w:szCs w:val="32"/>
          <w:lang w:val="en-US"/>
          <w14:textFill>
            <w14:solidFill>
              <w14:schemeClr w14:val="tx1"/>
            </w14:solidFill>
          </w14:textFill>
        </w:rPr>
        <w:t>单位合作，无知识产权纠纷，此前未公开发布；</w:t>
      </w:r>
    </w:p>
    <w:p w14:paraId="38250301">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具备实用性，有潜在的商业应用价值；</w:t>
      </w:r>
    </w:p>
    <w:p w14:paraId="7EF1096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参赛者根据所选题目，提交计算应用程序或软件，并以书面形式给出软件设计方案，内容包括但不限于设计说明、源代码、返回结果、总结报告、核心技术/创新点等。</w:t>
      </w:r>
    </w:p>
    <w:p w14:paraId="00030F5D">
      <w:pPr>
        <w:pStyle w:val="3"/>
        <w:keepNext w:val="0"/>
        <w:keepLines w:val="0"/>
        <w:widowControl w:val="0"/>
        <w:spacing w:line="240" w:lineRule="auto"/>
        <w:ind w:firstLine="640" w:firstLineChars="200"/>
        <w:jc w:val="both"/>
        <w:rPr>
          <w:rFonts w:hint="eastAsia" w:ascii="黑体" w:hAnsi="黑体" w:eastAsia="黑体"/>
          <w:lang w:val="en-US"/>
        </w:rPr>
      </w:pPr>
      <w:r>
        <w:rPr>
          <w:rFonts w:hint="eastAsia" w:ascii="黑体" w:hAnsi="黑体" w:eastAsia="黑体"/>
          <w:lang w:val="en-US"/>
        </w:rPr>
        <w:t>六、</w:t>
      </w:r>
      <w:r>
        <w:rPr>
          <w:rFonts w:ascii="黑体" w:hAnsi="黑体" w:eastAsia="黑体"/>
          <w:lang w:val="en-US"/>
        </w:rPr>
        <w:t>作品评选</w:t>
      </w:r>
      <w:r>
        <w:rPr>
          <w:rFonts w:hint="eastAsia" w:ascii="Times New Roman" w:hAnsi="Times New Roman" w:eastAsia="黑体" w:cs="黑体"/>
          <w:color w:val="000000" w:themeColor="text1"/>
          <w:lang w:val="en-US"/>
          <w14:textFill>
            <w14:solidFill>
              <w14:schemeClr w14:val="tx1"/>
            </w14:solidFill>
          </w14:textFill>
        </w:rPr>
        <w:t>参考</w:t>
      </w:r>
      <w:r>
        <w:rPr>
          <w:rFonts w:ascii="黑体" w:hAnsi="黑体" w:eastAsia="黑体"/>
          <w:lang w:val="en-US"/>
        </w:rPr>
        <w:t>标准</w:t>
      </w:r>
    </w:p>
    <w:p w14:paraId="10710CF9">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1.</w:t>
      </w:r>
      <w:r>
        <w:rPr>
          <w:rFonts w:eastAsia="仿宋_GB2312" w:cs="仿宋_GB2312"/>
          <w:color w:val="000000" w:themeColor="text1"/>
          <w:sz w:val="32"/>
          <w:szCs w:val="32"/>
          <w:lang w:val="en-US"/>
          <w14:textFill>
            <w14:solidFill>
              <w14:schemeClr w14:val="tx1"/>
            </w14:solidFill>
          </w14:textFill>
        </w:rPr>
        <w:t>提交参赛作品，要求代码及报告文档内容完整、书写规范、可读性强</w:t>
      </w:r>
      <w:r>
        <w:rPr>
          <w:rFonts w:hint="eastAsia" w:eastAsia="仿宋_GB2312" w:cs="仿宋_GB2312"/>
          <w:color w:val="000000" w:themeColor="text1"/>
          <w:sz w:val="32"/>
          <w:szCs w:val="32"/>
          <w:lang w:val="en-US"/>
          <w14:textFill>
            <w14:solidFill>
              <w14:schemeClr w14:val="tx1"/>
            </w14:solidFill>
          </w14:textFill>
        </w:rPr>
        <w:t>；</w:t>
      </w:r>
    </w:p>
    <w:p w14:paraId="5C0B6A0C">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2.</w:t>
      </w:r>
      <w:r>
        <w:rPr>
          <w:rFonts w:eastAsia="仿宋_GB2312" w:cs="仿宋_GB2312"/>
          <w:color w:val="000000" w:themeColor="text1"/>
          <w:sz w:val="32"/>
          <w:szCs w:val="32"/>
          <w:lang w:val="en-US"/>
          <w14:textFill>
            <w14:solidFill>
              <w14:schemeClr w14:val="tx1"/>
            </w14:solidFill>
          </w14:textFill>
        </w:rPr>
        <w:t>对于能够解决给定规模的某个问题的算法，将主要根据其中使用的量子线路的量子比特数和线路深度进行评分，量子资源需求及开销较小者将获得更优的评价；能通过对比试验或理论推导证明出所用量子经典混合算法相对于对应领域的传统方法的优越性或潜在优越性；能够在含噪声量子计算机（模拟器）上运行算法，展示算法对量子计算机噪声的处理方法或给出算法对噪声的鲁棒性分析；</w:t>
      </w:r>
    </w:p>
    <w:p w14:paraId="3CF041DD">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3.</w:t>
      </w:r>
      <w:r>
        <w:rPr>
          <w:rFonts w:eastAsia="仿宋_GB2312" w:cs="仿宋_GB2312"/>
          <w:color w:val="000000" w:themeColor="text1"/>
          <w:sz w:val="32"/>
          <w:szCs w:val="32"/>
          <w:lang w:val="en-US"/>
          <w14:textFill>
            <w14:solidFill>
              <w14:schemeClr w14:val="tx1"/>
            </w14:solidFill>
          </w14:textFill>
        </w:rPr>
        <w:t>对于量子模拟器，能够结合量子算法的应用，分析对经典资源消耗的减少、计算速度提升等改进效果；能够模拟量子计算机噪声；能够从计算原理出发给出模拟器构建方法相对于传统方法的优越性；</w:t>
      </w:r>
    </w:p>
    <w:p w14:paraId="681B81DE">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4.</w:t>
      </w:r>
      <w:r>
        <w:rPr>
          <w:rFonts w:eastAsia="仿宋_GB2312" w:cs="仿宋_GB2312"/>
          <w:color w:val="000000" w:themeColor="text1"/>
          <w:sz w:val="32"/>
          <w:szCs w:val="32"/>
          <w:lang w:val="en-US"/>
          <w14:textFill>
            <w14:solidFill>
              <w14:schemeClr w14:val="tx1"/>
            </w14:solidFill>
          </w14:textFill>
        </w:rPr>
        <w:t>对于量子编译/线路优化，能够结合量子算法的应用，分析对量子资源需求的优化效果，能够结合量子计算机真机物理参数设计编译/优化方法，能够给出相对于业界常用编译/优化方法的优越性分析</w:t>
      </w:r>
      <w:r>
        <w:rPr>
          <w:rFonts w:hint="eastAsia" w:eastAsia="仿宋_GB2312" w:cs="仿宋_GB2312"/>
          <w:color w:val="000000" w:themeColor="text1"/>
          <w:sz w:val="32"/>
          <w:szCs w:val="32"/>
          <w:lang w:val="en-US"/>
          <w14:textFill>
            <w14:solidFill>
              <w14:schemeClr w14:val="tx1"/>
            </w14:solidFill>
          </w14:textFill>
        </w:rPr>
        <w:t>；</w:t>
      </w:r>
    </w:p>
    <w:p w14:paraId="0251FF8A">
      <w:pPr>
        <w:spacing w:line="560" w:lineRule="exact"/>
        <w:ind w:firstLine="640" w:firstLineChars="200"/>
        <w:jc w:val="both"/>
        <w:rPr>
          <w:rFonts w:eastAsia="仿宋_GB2312" w:cs="仿宋_GB2312"/>
          <w:color w:val="000000" w:themeColor="text1"/>
          <w:sz w:val="32"/>
          <w:szCs w:val="32"/>
          <w:lang w:val="en-US"/>
          <w14:textFill>
            <w14:solidFill>
              <w14:schemeClr w14:val="tx1"/>
            </w14:solidFill>
          </w14:textFill>
        </w:rPr>
      </w:pPr>
      <w:r>
        <w:rPr>
          <w:rFonts w:hint="eastAsia" w:eastAsia="仿宋_GB2312" w:cs="仿宋_GB2312"/>
          <w:color w:val="000000" w:themeColor="text1"/>
          <w:sz w:val="32"/>
          <w:szCs w:val="32"/>
          <w:lang w:val="en-US"/>
          <w14:textFill>
            <w14:solidFill>
              <w14:schemeClr w14:val="tx1"/>
            </w14:solidFill>
          </w14:textFill>
        </w:rPr>
        <w:t>5.对于其他软件，同样要求结合量子算法的应用，能够分析对经典/量子资源消耗的降低效果，能够考虑量子计算机噪声等物理特性，能够从理论/实验角度证明优越性。</w:t>
      </w:r>
    </w:p>
    <w:p w14:paraId="1EC4F51A">
      <w:pPr>
        <w:pStyle w:val="3"/>
        <w:keepNext w:val="0"/>
        <w:keepLines w:val="0"/>
        <w:widowControl w:val="0"/>
        <w:spacing w:line="240" w:lineRule="auto"/>
        <w:ind w:firstLine="640" w:firstLineChars="200"/>
        <w:jc w:val="both"/>
        <w:rPr>
          <w:rFonts w:hint="eastAsia" w:ascii="黑体" w:hAnsi="黑体" w:eastAsia="黑体"/>
          <w:lang w:val="en-US"/>
        </w:rPr>
      </w:pPr>
      <w:bookmarkStart w:id="1" w:name="_Hlk177806754"/>
      <w:r>
        <w:rPr>
          <w:rFonts w:hint="eastAsia" w:ascii="黑体" w:hAnsi="黑体" w:eastAsia="黑体"/>
          <w:lang w:val="en-US"/>
        </w:rPr>
        <w:t>七、作品提交及评审安排</w:t>
      </w:r>
    </w:p>
    <w:bookmarkEnd w:id="1"/>
    <w:p w14:paraId="1D1C4134">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各学院于2024年10月前进行作品申报及其作者的资格及形式审查，并组成本学院评审委员会</w:t>
      </w:r>
      <w:r>
        <w:rPr>
          <w:rFonts w:hint="eastAsia" w:eastAsia="仿宋_GB2312" w:cs="仿宋_GB2312"/>
          <w:sz w:val="32"/>
          <w:szCs w:val="32"/>
          <w:lang w:val="en-US"/>
        </w:rPr>
        <w:t>。</w:t>
      </w:r>
    </w:p>
    <w:p w14:paraId="65DF3910">
      <w:pPr>
        <w:spacing w:line="560" w:lineRule="exact"/>
        <w:ind w:firstLine="640" w:firstLineChars="200"/>
        <w:jc w:val="both"/>
        <w:rPr>
          <w:rFonts w:eastAsia="仿宋_GB2312" w:cs="仿宋_GB2312"/>
          <w:sz w:val="32"/>
          <w:szCs w:val="32"/>
          <w:lang w:val="en-US"/>
        </w:rPr>
      </w:pPr>
      <w:r>
        <w:rPr>
          <w:rFonts w:eastAsia="仿宋_GB2312" w:cs="仿宋_GB2312"/>
          <w:sz w:val="32"/>
          <w:szCs w:val="32"/>
          <w:lang w:val="en-US"/>
        </w:rPr>
        <w:t>各学院评审委员会于2024年1</w:t>
      </w:r>
      <w:r>
        <w:rPr>
          <w:rFonts w:hint="eastAsia" w:eastAsia="仿宋_GB2312" w:cs="仿宋_GB2312"/>
          <w:sz w:val="32"/>
          <w:szCs w:val="32"/>
          <w:lang w:val="en-US"/>
        </w:rPr>
        <w:t>0</w:t>
      </w:r>
      <w:r>
        <w:rPr>
          <w:rFonts w:eastAsia="仿宋_GB2312" w:cs="仿宋_GB2312"/>
          <w:sz w:val="32"/>
          <w:szCs w:val="32"/>
          <w:lang w:val="en-US"/>
        </w:rPr>
        <w:t>月底前完成对本学院申报作品的院级选拔赛，择优挑选作品，于2024年1</w:t>
      </w:r>
      <w:r>
        <w:rPr>
          <w:rFonts w:hint="eastAsia" w:eastAsia="仿宋_GB2312" w:cs="仿宋_GB2312"/>
          <w:sz w:val="32"/>
          <w:szCs w:val="32"/>
          <w:lang w:val="en-US"/>
        </w:rPr>
        <w:t>1</w:t>
      </w:r>
      <w:r>
        <w:rPr>
          <w:rFonts w:eastAsia="仿宋_GB2312" w:cs="仿宋_GB2312"/>
          <w:sz w:val="32"/>
          <w:szCs w:val="32"/>
          <w:lang w:val="en-US"/>
        </w:rPr>
        <w:t>月</w:t>
      </w:r>
      <w:r>
        <w:rPr>
          <w:rFonts w:hint="eastAsia" w:eastAsia="仿宋_GB2312" w:cs="仿宋_GB2312"/>
          <w:sz w:val="32"/>
          <w:szCs w:val="32"/>
          <w:lang w:val="en-US"/>
        </w:rPr>
        <w:t>8日前</w:t>
      </w:r>
      <w:r>
        <w:rPr>
          <w:rFonts w:eastAsia="仿宋_GB2312" w:cs="仿宋_GB2312"/>
          <w:sz w:val="32"/>
          <w:szCs w:val="32"/>
          <w:lang w:val="en-US"/>
        </w:rPr>
        <w:t>，向校组委会办公室（办公地点设在南湖校区立德楼团委403室）交送书面的作品申报书（附件</w:t>
      </w:r>
      <w:r>
        <w:rPr>
          <w:rFonts w:hint="eastAsia" w:eastAsia="仿宋_GB2312" w:cs="仿宋_GB2312"/>
          <w:sz w:val="32"/>
          <w:szCs w:val="32"/>
          <w:lang w:val="en-US" w:eastAsia="zh-CN"/>
        </w:rPr>
        <w:t>11</w:t>
      </w:r>
      <w:r>
        <w:rPr>
          <w:rFonts w:eastAsia="仿宋_GB2312" w:cs="仿宋_GB2312"/>
          <w:sz w:val="32"/>
          <w:szCs w:val="32"/>
          <w:lang w:val="en-US"/>
        </w:rPr>
        <w:t>）及作品汇总登记表（附件1</w:t>
      </w:r>
      <w:r>
        <w:rPr>
          <w:rFonts w:hint="eastAsia" w:eastAsia="仿宋_GB2312" w:cs="仿宋_GB2312"/>
          <w:sz w:val="32"/>
          <w:szCs w:val="32"/>
          <w:lang w:val="en-US" w:eastAsia="zh-CN"/>
        </w:rPr>
        <w:t>2</w:t>
      </w:r>
      <w:r>
        <w:rPr>
          <w:rFonts w:eastAsia="仿宋_GB2312" w:cs="仿宋_GB2312"/>
          <w:sz w:val="32"/>
          <w:szCs w:val="32"/>
          <w:lang w:val="en-US"/>
        </w:rPr>
        <w:t>），电子版发送至校科协邮箱</w:t>
      </w:r>
      <w:r>
        <w:fldChar w:fldCharType="begin"/>
      </w:r>
      <w:r>
        <w:instrText xml:space="preserve"> HYPERLINK "mailto:wutxskx@163.com。" </w:instrText>
      </w:r>
      <w:r>
        <w:fldChar w:fldCharType="separate"/>
      </w:r>
      <w:r>
        <w:rPr>
          <w:rStyle w:val="14"/>
          <w:rFonts w:eastAsia="仿宋_GB2312" w:cs="仿宋_GB2312"/>
          <w:sz w:val="32"/>
          <w:szCs w:val="32"/>
          <w:lang w:val="en-US"/>
        </w:rPr>
        <w:t>wutxskx@163.com。</w:t>
      </w:r>
      <w:r>
        <w:rPr>
          <w:rStyle w:val="14"/>
          <w:rFonts w:eastAsia="仿宋_GB2312" w:cs="仿宋_GB2312"/>
          <w:sz w:val="32"/>
          <w:szCs w:val="32"/>
          <w:lang w:val="en-US"/>
        </w:rPr>
        <w:fldChar w:fldCharType="end"/>
      </w:r>
    </w:p>
    <w:p w14:paraId="6E99E843">
      <w:pPr>
        <w:spacing w:line="560" w:lineRule="exact"/>
        <w:ind w:firstLine="640" w:firstLineChars="200"/>
        <w:jc w:val="both"/>
        <w:rPr>
          <w:rFonts w:eastAsia="仿宋_GB2312"/>
          <w:sz w:val="32"/>
          <w:szCs w:val="32"/>
          <w:lang w:val="en-US"/>
        </w:rPr>
      </w:pPr>
      <w:r>
        <w:rPr>
          <w:rFonts w:eastAsia="仿宋_GB2312" w:cs="仿宋_GB2312"/>
          <w:sz w:val="32"/>
          <w:szCs w:val="32"/>
          <w:lang w:val="en-US"/>
        </w:rPr>
        <w:t>2024年11月</w:t>
      </w:r>
      <w:r>
        <w:rPr>
          <w:rFonts w:hint="eastAsia" w:eastAsia="仿宋_GB2312" w:cs="仿宋_GB2312"/>
          <w:sz w:val="32"/>
          <w:szCs w:val="32"/>
          <w:lang w:val="en-US"/>
        </w:rPr>
        <w:t>中旬</w:t>
      </w:r>
      <w:r>
        <w:rPr>
          <w:rFonts w:eastAsia="仿宋_GB2312" w:cs="仿宋_GB2312"/>
          <w:sz w:val="32"/>
          <w:szCs w:val="32"/>
          <w:lang w:val="en-US"/>
        </w:rPr>
        <w:t>至2024年12月</w:t>
      </w:r>
      <w:r>
        <w:rPr>
          <w:rFonts w:hint="eastAsia" w:eastAsia="仿宋_GB2312" w:cs="仿宋_GB2312"/>
          <w:sz w:val="32"/>
          <w:szCs w:val="32"/>
          <w:lang w:val="en-US"/>
        </w:rPr>
        <w:t>中旬，校评审委员会对作品进行书面评审</w:t>
      </w:r>
      <w:r>
        <w:rPr>
          <w:rFonts w:eastAsia="仿宋_GB2312" w:cs="仿宋_GB2312"/>
          <w:sz w:val="32"/>
          <w:szCs w:val="32"/>
          <w:lang w:val="en-US"/>
        </w:rPr>
        <w:t>、对入围</w:t>
      </w:r>
      <w:bookmarkStart w:id="2" w:name="_GoBack"/>
      <w:bookmarkEnd w:id="2"/>
      <w:r>
        <w:rPr>
          <w:rFonts w:eastAsia="仿宋_GB2312" w:cs="仿宋_GB2312"/>
          <w:sz w:val="32"/>
          <w:szCs w:val="32"/>
          <w:lang w:val="en-US"/>
        </w:rPr>
        <w:t>终审决赛项目进行公开答辩</w:t>
      </w:r>
      <w:r>
        <w:rPr>
          <w:rFonts w:hint="eastAsia" w:eastAsia="仿宋_GB2312" w:cs="仿宋_GB2312"/>
          <w:sz w:val="32"/>
          <w:szCs w:val="32"/>
          <w:lang w:val="en-US"/>
        </w:rPr>
        <w:t>。</w:t>
      </w:r>
    </w:p>
    <w:sectPr>
      <w:footerReference r:id="rId3" w:type="default"/>
      <w:type w:val="continuous"/>
      <w:pgSz w:w="11906" w:h="16838"/>
      <w:pgMar w:top="1984" w:right="1587"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简体">
    <w:altName w:val="微软雅黑"/>
    <w:panose1 w:val="00000000000000000000"/>
    <w:charset w:val="86"/>
    <w:family w:val="script"/>
    <w:pitch w:val="default"/>
    <w:sig w:usb0="00000000" w:usb1="00000000" w:usb2="00000012" w:usb3="00000000" w:csb0="00040001" w:csb1="00000000"/>
  </w:font>
  <w:font w:name="方正楷体简体">
    <w:altName w:val="微软雅黑"/>
    <w:panose1 w:val="00000000000000000000"/>
    <w:charset w:val="86"/>
    <w:family w:val="script"/>
    <w:pitch w:val="default"/>
    <w:sig w:usb0="00000000" w:usb1="00000000" w:usb2="00000012" w:usb3="00000000" w:csb0="00040001"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黑体_GBK">
    <w:altName w:val="微软雅黑"/>
    <w:panose1 w:val="00000000000000000000"/>
    <w:charset w:val="86"/>
    <w:family w:val="script"/>
    <w:pitch w:val="default"/>
    <w:sig w:usb0="00000000" w:usb1="00000000" w:usb2="00082016" w:usb3="00000000" w:csb0="00040001" w:csb1="00000000"/>
  </w:font>
  <w:font w:name="方正仿宋_GBK">
    <w:altName w:val="微软雅黑"/>
    <w:panose1 w:val="00000000000000000000"/>
    <w:charset w:val="86"/>
    <w:family w:val="script"/>
    <w:pitch w:val="default"/>
    <w:sig w:usb0="00000000" w:usb1="00000000" w:usb2="00082016" w:usb3="00000000" w:csb0="00040001" w:csb1="00000000"/>
  </w:font>
  <w:font w:name="仿宋-GB2312">
    <w:altName w:val="仿宋"/>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MS PGothic">
    <w:panose1 w:val="020B0600070205080204"/>
    <w:charset w:val="80"/>
    <w:family w:val="auto"/>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92A6ED">
    <w:pPr>
      <w:pStyle w:val="6"/>
      <w:ind w:firstLine="480"/>
      <w:jc w:val="center"/>
      <w:rPr>
        <w:rFonts w:ascii="Times New Roman" w:hAnsi="Times New Roman" w:cs="Times New Roman"/>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B92484">
                          <w:pPr>
                            <w:pStyle w:val="6"/>
                            <w:rPr>
                              <w:rFonts w:hint="eastAsia"/>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2B92484">
                    <w:pPr>
                      <w:pStyle w:val="6"/>
                      <w:rPr>
                        <w:rFonts w:hint="eastAsia"/>
                      </w:rPr>
                    </w:pPr>
                    <w:r>
                      <w:fldChar w:fldCharType="begin"/>
                    </w:r>
                    <w:r>
                      <w:instrText xml:space="preserve"> PAGE  \* MERGEFORMAT </w:instrText>
                    </w:r>
                    <w:r>
                      <w:fldChar w:fldCharType="separate"/>
                    </w:r>
                    <w:r>
                      <w:t>1</w:t>
                    </w:r>
                    <w:r>
                      <w:fldChar w:fldCharType="end"/>
                    </w:r>
                  </w:p>
                </w:txbxContent>
              </v:textbox>
            </v:shape>
          </w:pict>
        </mc:Fallback>
      </mc:AlternateContent>
    </w:r>
  </w:p>
  <w:p w14:paraId="3D1ABC7F">
    <w:pPr>
      <w:pStyle w:val="6"/>
      <w:ind w:firstLine="360"/>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Y2OGM1NTVhMWZkYzAxODEwYjA0ZDliMzMwYzM3NTAifQ=="/>
  </w:docVars>
  <w:rsids>
    <w:rsidRoot w:val="008769EE"/>
    <w:rsid w:val="000024AF"/>
    <w:rsid w:val="00005D1C"/>
    <w:rsid w:val="00017E5B"/>
    <w:rsid w:val="00021C1D"/>
    <w:rsid w:val="00057714"/>
    <w:rsid w:val="000626B0"/>
    <w:rsid w:val="00064968"/>
    <w:rsid w:val="00075C5A"/>
    <w:rsid w:val="000A6775"/>
    <w:rsid w:val="000D57EF"/>
    <w:rsid w:val="0010211D"/>
    <w:rsid w:val="0011069F"/>
    <w:rsid w:val="001118C6"/>
    <w:rsid w:val="00111E5D"/>
    <w:rsid w:val="00120156"/>
    <w:rsid w:val="001367A9"/>
    <w:rsid w:val="00143054"/>
    <w:rsid w:val="001579F2"/>
    <w:rsid w:val="00164C26"/>
    <w:rsid w:val="0016564C"/>
    <w:rsid w:val="001B0D74"/>
    <w:rsid w:val="001B2C6C"/>
    <w:rsid w:val="001C0DFA"/>
    <w:rsid w:val="001D0729"/>
    <w:rsid w:val="001E760D"/>
    <w:rsid w:val="001E77C2"/>
    <w:rsid w:val="001F6CC8"/>
    <w:rsid w:val="0020086A"/>
    <w:rsid w:val="00204298"/>
    <w:rsid w:val="00205E3B"/>
    <w:rsid w:val="002242CF"/>
    <w:rsid w:val="00224FD1"/>
    <w:rsid w:val="00236E3E"/>
    <w:rsid w:val="0024353F"/>
    <w:rsid w:val="002560B0"/>
    <w:rsid w:val="00281AE9"/>
    <w:rsid w:val="00283877"/>
    <w:rsid w:val="002938E3"/>
    <w:rsid w:val="00295B1A"/>
    <w:rsid w:val="002B0D40"/>
    <w:rsid w:val="002B6DDC"/>
    <w:rsid w:val="002E7BFD"/>
    <w:rsid w:val="002F7D9C"/>
    <w:rsid w:val="003013AC"/>
    <w:rsid w:val="00301FF2"/>
    <w:rsid w:val="00341051"/>
    <w:rsid w:val="00351403"/>
    <w:rsid w:val="00354FAF"/>
    <w:rsid w:val="00363E2D"/>
    <w:rsid w:val="00371816"/>
    <w:rsid w:val="00392185"/>
    <w:rsid w:val="0039481F"/>
    <w:rsid w:val="003B6C68"/>
    <w:rsid w:val="003B786C"/>
    <w:rsid w:val="003E007F"/>
    <w:rsid w:val="003E2852"/>
    <w:rsid w:val="00403615"/>
    <w:rsid w:val="00405B32"/>
    <w:rsid w:val="00407F26"/>
    <w:rsid w:val="0041464C"/>
    <w:rsid w:val="0044592C"/>
    <w:rsid w:val="00461548"/>
    <w:rsid w:val="00463782"/>
    <w:rsid w:val="00471974"/>
    <w:rsid w:val="00476A7D"/>
    <w:rsid w:val="00483410"/>
    <w:rsid w:val="004876C3"/>
    <w:rsid w:val="00494F44"/>
    <w:rsid w:val="00496D3E"/>
    <w:rsid w:val="004A0A91"/>
    <w:rsid w:val="004B00B4"/>
    <w:rsid w:val="004B01E5"/>
    <w:rsid w:val="004B6FF1"/>
    <w:rsid w:val="004D0FC5"/>
    <w:rsid w:val="004F30AF"/>
    <w:rsid w:val="004F3DC9"/>
    <w:rsid w:val="00517736"/>
    <w:rsid w:val="00532B4E"/>
    <w:rsid w:val="005333BA"/>
    <w:rsid w:val="00537F15"/>
    <w:rsid w:val="00553DCC"/>
    <w:rsid w:val="00554C5C"/>
    <w:rsid w:val="005753FB"/>
    <w:rsid w:val="00577641"/>
    <w:rsid w:val="00580524"/>
    <w:rsid w:val="00585CAC"/>
    <w:rsid w:val="005944CA"/>
    <w:rsid w:val="005A1799"/>
    <w:rsid w:val="005A5BBF"/>
    <w:rsid w:val="005C1AAC"/>
    <w:rsid w:val="005D33E1"/>
    <w:rsid w:val="005E0F11"/>
    <w:rsid w:val="00603AF5"/>
    <w:rsid w:val="006047E7"/>
    <w:rsid w:val="00606DA8"/>
    <w:rsid w:val="00613673"/>
    <w:rsid w:val="00613AAA"/>
    <w:rsid w:val="006226BA"/>
    <w:rsid w:val="00633F6B"/>
    <w:rsid w:val="00636F96"/>
    <w:rsid w:val="00663468"/>
    <w:rsid w:val="0066573D"/>
    <w:rsid w:val="0068166A"/>
    <w:rsid w:val="006A3A6E"/>
    <w:rsid w:val="006A51DF"/>
    <w:rsid w:val="006C3959"/>
    <w:rsid w:val="006C732F"/>
    <w:rsid w:val="006D3F77"/>
    <w:rsid w:val="006E08BD"/>
    <w:rsid w:val="006E6DDA"/>
    <w:rsid w:val="007216F0"/>
    <w:rsid w:val="0073249A"/>
    <w:rsid w:val="00746651"/>
    <w:rsid w:val="00756CFB"/>
    <w:rsid w:val="00765C33"/>
    <w:rsid w:val="00777C79"/>
    <w:rsid w:val="007879EC"/>
    <w:rsid w:val="007E141A"/>
    <w:rsid w:val="007F195A"/>
    <w:rsid w:val="00805D49"/>
    <w:rsid w:val="00816F55"/>
    <w:rsid w:val="00825FD8"/>
    <w:rsid w:val="008313DD"/>
    <w:rsid w:val="008321B0"/>
    <w:rsid w:val="00847E58"/>
    <w:rsid w:val="00851D22"/>
    <w:rsid w:val="00860FD3"/>
    <w:rsid w:val="008669B5"/>
    <w:rsid w:val="00867EEA"/>
    <w:rsid w:val="00872C0C"/>
    <w:rsid w:val="008769EE"/>
    <w:rsid w:val="0088143A"/>
    <w:rsid w:val="008836AC"/>
    <w:rsid w:val="00887D7E"/>
    <w:rsid w:val="0089086B"/>
    <w:rsid w:val="008A0C33"/>
    <w:rsid w:val="008B43EC"/>
    <w:rsid w:val="008C4B94"/>
    <w:rsid w:val="008E3EE3"/>
    <w:rsid w:val="008E6CAF"/>
    <w:rsid w:val="008F2FB1"/>
    <w:rsid w:val="00912ADC"/>
    <w:rsid w:val="00917F07"/>
    <w:rsid w:val="00923192"/>
    <w:rsid w:val="00931DCA"/>
    <w:rsid w:val="0093518D"/>
    <w:rsid w:val="00937CB6"/>
    <w:rsid w:val="00953BA4"/>
    <w:rsid w:val="00954857"/>
    <w:rsid w:val="009632E8"/>
    <w:rsid w:val="00966187"/>
    <w:rsid w:val="00987542"/>
    <w:rsid w:val="00995541"/>
    <w:rsid w:val="00996802"/>
    <w:rsid w:val="009A5F81"/>
    <w:rsid w:val="00A0235C"/>
    <w:rsid w:val="00A22759"/>
    <w:rsid w:val="00A30D68"/>
    <w:rsid w:val="00A31A98"/>
    <w:rsid w:val="00A4232F"/>
    <w:rsid w:val="00A43480"/>
    <w:rsid w:val="00A460CE"/>
    <w:rsid w:val="00A60C8A"/>
    <w:rsid w:val="00A744C4"/>
    <w:rsid w:val="00AA7BD8"/>
    <w:rsid w:val="00AB1BF4"/>
    <w:rsid w:val="00AD025A"/>
    <w:rsid w:val="00AD24CF"/>
    <w:rsid w:val="00AD6CFA"/>
    <w:rsid w:val="00AE66B7"/>
    <w:rsid w:val="00B0258C"/>
    <w:rsid w:val="00B32E7F"/>
    <w:rsid w:val="00B33B42"/>
    <w:rsid w:val="00B40CAF"/>
    <w:rsid w:val="00B52CCC"/>
    <w:rsid w:val="00B70A95"/>
    <w:rsid w:val="00B80EC7"/>
    <w:rsid w:val="00BA70BA"/>
    <w:rsid w:val="00BC1B59"/>
    <w:rsid w:val="00BC7077"/>
    <w:rsid w:val="00BE634B"/>
    <w:rsid w:val="00BF4E2D"/>
    <w:rsid w:val="00BF5383"/>
    <w:rsid w:val="00C217F1"/>
    <w:rsid w:val="00C24C93"/>
    <w:rsid w:val="00C60328"/>
    <w:rsid w:val="00C678B8"/>
    <w:rsid w:val="00C81301"/>
    <w:rsid w:val="00C82B11"/>
    <w:rsid w:val="00C90F03"/>
    <w:rsid w:val="00C97BA0"/>
    <w:rsid w:val="00CB5FAC"/>
    <w:rsid w:val="00D05DE3"/>
    <w:rsid w:val="00D35340"/>
    <w:rsid w:val="00D474E2"/>
    <w:rsid w:val="00D531BB"/>
    <w:rsid w:val="00D55D40"/>
    <w:rsid w:val="00D64A7B"/>
    <w:rsid w:val="00D71164"/>
    <w:rsid w:val="00D755E0"/>
    <w:rsid w:val="00D8092B"/>
    <w:rsid w:val="00D826F5"/>
    <w:rsid w:val="00D905C1"/>
    <w:rsid w:val="00D96EDB"/>
    <w:rsid w:val="00DA4A6A"/>
    <w:rsid w:val="00DB02D9"/>
    <w:rsid w:val="00DB59F1"/>
    <w:rsid w:val="00DB5EAB"/>
    <w:rsid w:val="00DE2CD2"/>
    <w:rsid w:val="00DE6299"/>
    <w:rsid w:val="00DF09AA"/>
    <w:rsid w:val="00DF64DF"/>
    <w:rsid w:val="00DF78E0"/>
    <w:rsid w:val="00E01DD4"/>
    <w:rsid w:val="00E02303"/>
    <w:rsid w:val="00E05639"/>
    <w:rsid w:val="00E067C4"/>
    <w:rsid w:val="00E13134"/>
    <w:rsid w:val="00E30024"/>
    <w:rsid w:val="00E46C70"/>
    <w:rsid w:val="00E47733"/>
    <w:rsid w:val="00E5011B"/>
    <w:rsid w:val="00E524CD"/>
    <w:rsid w:val="00E65FC6"/>
    <w:rsid w:val="00E72C07"/>
    <w:rsid w:val="00E909FD"/>
    <w:rsid w:val="00EA0B44"/>
    <w:rsid w:val="00EA697C"/>
    <w:rsid w:val="00EB1E9B"/>
    <w:rsid w:val="00EB2BDB"/>
    <w:rsid w:val="00EB4B20"/>
    <w:rsid w:val="00EF3C50"/>
    <w:rsid w:val="00F1317D"/>
    <w:rsid w:val="00F256C4"/>
    <w:rsid w:val="00F26931"/>
    <w:rsid w:val="00F57CAE"/>
    <w:rsid w:val="00F70F5B"/>
    <w:rsid w:val="00F74A1C"/>
    <w:rsid w:val="00F75202"/>
    <w:rsid w:val="00F910DA"/>
    <w:rsid w:val="00FA1D99"/>
    <w:rsid w:val="00FF5C3F"/>
    <w:rsid w:val="011D4668"/>
    <w:rsid w:val="01AD4814"/>
    <w:rsid w:val="01D25B00"/>
    <w:rsid w:val="01D51F5B"/>
    <w:rsid w:val="02481270"/>
    <w:rsid w:val="029E34F5"/>
    <w:rsid w:val="03294FF9"/>
    <w:rsid w:val="03803D68"/>
    <w:rsid w:val="03910A32"/>
    <w:rsid w:val="03FE7196"/>
    <w:rsid w:val="040E5D41"/>
    <w:rsid w:val="043549F2"/>
    <w:rsid w:val="04816A57"/>
    <w:rsid w:val="04853FBB"/>
    <w:rsid w:val="051528EC"/>
    <w:rsid w:val="05185E54"/>
    <w:rsid w:val="05333B2A"/>
    <w:rsid w:val="05776D66"/>
    <w:rsid w:val="05C978FD"/>
    <w:rsid w:val="05E31242"/>
    <w:rsid w:val="0671705A"/>
    <w:rsid w:val="06732134"/>
    <w:rsid w:val="06DA3702"/>
    <w:rsid w:val="06F55DEF"/>
    <w:rsid w:val="072422A7"/>
    <w:rsid w:val="07463F1D"/>
    <w:rsid w:val="078F2493"/>
    <w:rsid w:val="07901CC5"/>
    <w:rsid w:val="0795514D"/>
    <w:rsid w:val="0840076F"/>
    <w:rsid w:val="08601D96"/>
    <w:rsid w:val="08C25676"/>
    <w:rsid w:val="094F1FBB"/>
    <w:rsid w:val="09644BDE"/>
    <w:rsid w:val="09AA3609"/>
    <w:rsid w:val="0A260073"/>
    <w:rsid w:val="0A892662"/>
    <w:rsid w:val="0A8F7AAE"/>
    <w:rsid w:val="0AD671E5"/>
    <w:rsid w:val="0AEE0C79"/>
    <w:rsid w:val="0B2B6586"/>
    <w:rsid w:val="0B4A5469"/>
    <w:rsid w:val="0B6B3F04"/>
    <w:rsid w:val="0B6F69F0"/>
    <w:rsid w:val="0B7909AD"/>
    <w:rsid w:val="0B8F177D"/>
    <w:rsid w:val="0C645CC6"/>
    <w:rsid w:val="0C722001"/>
    <w:rsid w:val="0C955B7E"/>
    <w:rsid w:val="0CAD1E5B"/>
    <w:rsid w:val="0D09135F"/>
    <w:rsid w:val="0D4764C0"/>
    <w:rsid w:val="0D7E4529"/>
    <w:rsid w:val="0DA54A80"/>
    <w:rsid w:val="0DCF4D92"/>
    <w:rsid w:val="0EDC0AFF"/>
    <w:rsid w:val="0EF0331F"/>
    <w:rsid w:val="0F78357E"/>
    <w:rsid w:val="0FA66A75"/>
    <w:rsid w:val="0FB12E15"/>
    <w:rsid w:val="106C4753"/>
    <w:rsid w:val="10772CDB"/>
    <w:rsid w:val="107A0F05"/>
    <w:rsid w:val="107F47F9"/>
    <w:rsid w:val="10DB3A4D"/>
    <w:rsid w:val="113D4D7B"/>
    <w:rsid w:val="11672B32"/>
    <w:rsid w:val="1178767D"/>
    <w:rsid w:val="11AD4CBD"/>
    <w:rsid w:val="11D96D62"/>
    <w:rsid w:val="120851FE"/>
    <w:rsid w:val="12415B32"/>
    <w:rsid w:val="12647A72"/>
    <w:rsid w:val="12A47462"/>
    <w:rsid w:val="12AB1133"/>
    <w:rsid w:val="12E36BE9"/>
    <w:rsid w:val="13221EE1"/>
    <w:rsid w:val="13272F7A"/>
    <w:rsid w:val="133212DB"/>
    <w:rsid w:val="138059EE"/>
    <w:rsid w:val="138E2FF9"/>
    <w:rsid w:val="13CA2B4E"/>
    <w:rsid w:val="13EE5957"/>
    <w:rsid w:val="14294F3F"/>
    <w:rsid w:val="145A1BF7"/>
    <w:rsid w:val="14851B79"/>
    <w:rsid w:val="15205576"/>
    <w:rsid w:val="15AA5E96"/>
    <w:rsid w:val="15D942D4"/>
    <w:rsid w:val="162866A2"/>
    <w:rsid w:val="167224E4"/>
    <w:rsid w:val="16921FAF"/>
    <w:rsid w:val="177B78C5"/>
    <w:rsid w:val="17E2511D"/>
    <w:rsid w:val="1800389F"/>
    <w:rsid w:val="1804590C"/>
    <w:rsid w:val="181F20AD"/>
    <w:rsid w:val="184414B7"/>
    <w:rsid w:val="188624F1"/>
    <w:rsid w:val="189B4472"/>
    <w:rsid w:val="18B23C91"/>
    <w:rsid w:val="1916529F"/>
    <w:rsid w:val="19300544"/>
    <w:rsid w:val="19492385"/>
    <w:rsid w:val="196A001E"/>
    <w:rsid w:val="19883A90"/>
    <w:rsid w:val="1A1553DD"/>
    <w:rsid w:val="1A1667EC"/>
    <w:rsid w:val="1AD27C6F"/>
    <w:rsid w:val="1B24668A"/>
    <w:rsid w:val="1BED1E2C"/>
    <w:rsid w:val="1C237BC3"/>
    <w:rsid w:val="1C612DAD"/>
    <w:rsid w:val="1C816BA3"/>
    <w:rsid w:val="1D2D60B2"/>
    <w:rsid w:val="1D3B0FE4"/>
    <w:rsid w:val="1D435FFF"/>
    <w:rsid w:val="1D540A00"/>
    <w:rsid w:val="1DA327A0"/>
    <w:rsid w:val="1DA67191"/>
    <w:rsid w:val="1DBC4027"/>
    <w:rsid w:val="1E504BF2"/>
    <w:rsid w:val="1EA907D1"/>
    <w:rsid w:val="1F066139"/>
    <w:rsid w:val="1F3C04FF"/>
    <w:rsid w:val="1F762BAF"/>
    <w:rsid w:val="20123648"/>
    <w:rsid w:val="20977AE0"/>
    <w:rsid w:val="21DA0F90"/>
    <w:rsid w:val="21FD6C01"/>
    <w:rsid w:val="22463DDE"/>
    <w:rsid w:val="227E692E"/>
    <w:rsid w:val="22881F58"/>
    <w:rsid w:val="22E55DA3"/>
    <w:rsid w:val="231F12DE"/>
    <w:rsid w:val="23531B69"/>
    <w:rsid w:val="23835AF5"/>
    <w:rsid w:val="23991047"/>
    <w:rsid w:val="23B107E7"/>
    <w:rsid w:val="23B940CE"/>
    <w:rsid w:val="23F611D5"/>
    <w:rsid w:val="242F1397"/>
    <w:rsid w:val="25324A72"/>
    <w:rsid w:val="2604714B"/>
    <w:rsid w:val="26680B0E"/>
    <w:rsid w:val="276607BD"/>
    <w:rsid w:val="27707807"/>
    <w:rsid w:val="277E3A4E"/>
    <w:rsid w:val="29095901"/>
    <w:rsid w:val="290F58EC"/>
    <w:rsid w:val="29712213"/>
    <w:rsid w:val="29813DF7"/>
    <w:rsid w:val="2A641BAA"/>
    <w:rsid w:val="2A85768A"/>
    <w:rsid w:val="2B0E3A48"/>
    <w:rsid w:val="2B2B347E"/>
    <w:rsid w:val="2B5841C1"/>
    <w:rsid w:val="2B9C2019"/>
    <w:rsid w:val="2BC2788C"/>
    <w:rsid w:val="2BE61BF3"/>
    <w:rsid w:val="2BE63207"/>
    <w:rsid w:val="2BED05B2"/>
    <w:rsid w:val="2C112589"/>
    <w:rsid w:val="2C1B5B53"/>
    <w:rsid w:val="2C334808"/>
    <w:rsid w:val="2C8328E3"/>
    <w:rsid w:val="2CBD2100"/>
    <w:rsid w:val="2CD92454"/>
    <w:rsid w:val="2D11572E"/>
    <w:rsid w:val="2D5072C9"/>
    <w:rsid w:val="2D9737AA"/>
    <w:rsid w:val="2E44738D"/>
    <w:rsid w:val="2E483CF0"/>
    <w:rsid w:val="2EAE282B"/>
    <w:rsid w:val="2ED43E1F"/>
    <w:rsid w:val="2EF61F5F"/>
    <w:rsid w:val="2F204D2F"/>
    <w:rsid w:val="2F213D0C"/>
    <w:rsid w:val="2F6B6D60"/>
    <w:rsid w:val="2FCD7BF6"/>
    <w:rsid w:val="30280776"/>
    <w:rsid w:val="30D8752B"/>
    <w:rsid w:val="31327933"/>
    <w:rsid w:val="314F7592"/>
    <w:rsid w:val="32047B94"/>
    <w:rsid w:val="32886AF3"/>
    <w:rsid w:val="328A4C82"/>
    <w:rsid w:val="32EF5010"/>
    <w:rsid w:val="33020A40"/>
    <w:rsid w:val="33047391"/>
    <w:rsid w:val="333332D8"/>
    <w:rsid w:val="333C43C8"/>
    <w:rsid w:val="338737FF"/>
    <w:rsid w:val="347270AC"/>
    <w:rsid w:val="34A400A9"/>
    <w:rsid w:val="350D59DC"/>
    <w:rsid w:val="351116A8"/>
    <w:rsid w:val="35154B48"/>
    <w:rsid w:val="359C73A0"/>
    <w:rsid w:val="35F73B2D"/>
    <w:rsid w:val="36160F00"/>
    <w:rsid w:val="36A171E4"/>
    <w:rsid w:val="37557E0A"/>
    <w:rsid w:val="375B41E8"/>
    <w:rsid w:val="37983B5D"/>
    <w:rsid w:val="37E008B4"/>
    <w:rsid w:val="37E3463B"/>
    <w:rsid w:val="37EA43F2"/>
    <w:rsid w:val="3814321D"/>
    <w:rsid w:val="38731E86"/>
    <w:rsid w:val="389D3717"/>
    <w:rsid w:val="38A54F26"/>
    <w:rsid w:val="38AB24E9"/>
    <w:rsid w:val="38DD789A"/>
    <w:rsid w:val="38F579D3"/>
    <w:rsid w:val="393E61F7"/>
    <w:rsid w:val="39547B8F"/>
    <w:rsid w:val="396669FF"/>
    <w:rsid w:val="397B56DC"/>
    <w:rsid w:val="398C3287"/>
    <w:rsid w:val="39AC7A37"/>
    <w:rsid w:val="39EE0ECA"/>
    <w:rsid w:val="3A010BF4"/>
    <w:rsid w:val="3A5A5133"/>
    <w:rsid w:val="3A5F052B"/>
    <w:rsid w:val="3B20103D"/>
    <w:rsid w:val="3B3347D5"/>
    <w:rsid w:val="3BC02155"/>
    <w:rsid w:val="3BF7E6BF"/>
    <w:rsid w:val="3C28581E"/>
    <w:rsid w:val="3C4538F8"/>
    <w:rsid w:val="3CA2297F"/>
    <w:rsid w:val="3CB054DF"/>
    <w:rsid w:val="3CD975B2"/>
    <w:rsid w:val="3CFC1E0B"/>
    <w:rsid w:val="3CFF1E29"/>
    <w:rsid w:val="3D7D1865"/>
    <w:rsid w:val="3ED27DBD"/>
    <w:rsid w:val="3F0C0676"/>
    <w:rsid w:val="3F141141"/>
    <w:rsid w:val="3F5A3C2F"/>
    <w:rsid w:val="3F724603"/>
    <w:rsid w:val="3FC76EA6"/>
    <w:rsid w:val="40244897"/>
    <w:rsid w:val="40504E9C"/>
    <w:rsid w:val="4090448B"/>
    <w:rsid w:val="4185378C"/>
    <w:rsid w:val="431E490D"/>
    <w:rsid w:val="4384772F"/>
    <w:rsid w:val="43850177"/>
    <w:rsid w:val="43865400"/>
    <w:rsid w:val="44362561"/>
    <w:rsid w:val="443B2D53"/>
    <w:rsid w:val="445341F2"/>
    <w:rsid w:val="44834750"/>
    <w:rsid w:val="44DB2ACE"/>
    <w:rsid w:val="458849D3"/>
    <w:rsid w:val="45A06791"/>
    <w:rsid w:val="45B1292D"/>
    <w:rsid w:val="45BF74A8"/>
    <w:rsid w:val="45CD38CF"/>
    <w:rsid w:val="462E307C"/>
    <w:rsid w:val="464072B5"/>
    <w:rsid w:val="464D21B7"/>
    <w:rsid w:val="46CA635B"/>
    <w:rsid w:val="489A6F14"/>
    <w:rsid w:val="494B597C"/>
    <w:rsid w:val="498072FA"/>
    <w:rsid w:val="49962324"/>
    <w:rsid w:val="49ED0155"/>
    <w:rsid w:val="4A596FF9"/>
    <w:rsid w:val="4A5D3697"/>
    <w:rsid w:val="4AFC6247"/>
    <w:rsid w:val="4B704D15"/>
    <w:rsid w:val="4B8F5D2D"/>
    <w:rsid w:val="4B9A22C6"/>
    <w:rsid w:val="4C0C0983"/>
    <w:rsid w:val="4C2E0DCB"/>
    <w:rsid w:val="4C641BFC"/>
    <w:rsid w:val="4C726569"/>
    <w:rsid w:val="4CB37C08"/>
    <w:rsid w:val="4CC874F6"/>
    <w:rsid w:val="4CD60537"/>
    <w:rsid w:val="4CDB1144"/>
    <w:rsid w:val="4D47054C"/>
    <w:rsid w:val="4D516231"/>
    <w:rsid w:val="4D6E4265"/>
    <w:rsid w:val="4D7E702B"/>
    <w:rsid w:val="4D94083B"/>
    <w:rsid w:val="4DF4003D"/>
    <w:rsid w:val="4E4F369A"/>
    <w:rsid w:val="4E6A7538"/>
    <w:rsid w:val="4EDA6221"/>
    <w:rsid w:val="4F2E243F"/>
    <w:rsid w:val="4FDF2564"/>
    <w:rsid w:val="501523A2"/>
    <w:rsid w:val="504174FC"/>
    <w:rsid w:val="50571C9F"/>
    <w:rsid w:val="50AB003F"/>
    <w:rsid w:val="50CF4503"/>
    <w:rsid w:val="50D37C15"/>
    <w:rsid w:val="511D019F"/>
    <w:rsid w:val="511D18C9"/>
    <w:rsid w:val="51542C8D"/>
    <w:rsid w:val="516234FD"/>
    <w:rsid w:val="51656886"/>
    <w:rsid w:val="516A1B63"/>
    <w:rsid w:val="51B81737"/>
    <w:rsid w:val="51D77030"/>
    <w:rsid w:val="52353A0A"/>
    <w:rsid w:val="52D85750"/>
    <w:rsid w:val="52FB18C6"/>
    <w:rsid w:val="531072F0"/>
    <w:rsid w:val="53213E80"/>
    <w:rsid w:val="53FE3E0A"/>
    <w:rsid w:val="543142CF"/>
    <w:rsid w:val="55286E22"/>
    <w:rsid w:val="556E6581"/>
    <w:rsid w:val="5588677D"/>
    <w:rsid w:val="55A87995"/>
    <w:rsid w:val="560317C0"/>
    <w:rsid w:val="560E14B9"/>
    <w:rsid w:val="561F720E"/>
    <w:rsid w:val="566F4A58"/>
    <w:rsid w:val="5712150D"/>
    <w:rsid w:val="57A3633F"/>
    <w:rsid w:val="57B27F05"/>
    <w:rsid w:val="57CF58DB"/>
    <w:rsid w:val="57DC33A7"/>
    <w:rsid w:val="58215343"/>
    <w:rsid w:val="584F10D8"/>
    <w:rsid w:val="5854171D"/>
    <w:rsid w:val="587561D1"/>
    <w:rsid w:val="58D01EBB"/>
    <w:rsid w:val="58F61D44"/>
    <w:rsid w:val="596B3D20"/>
    <w:rsid w:val="597D2244"/>
    <w:rsid w:val="59F3439B"/>
    <w:rsid w:val="5A06308E"/>
    <w:rsid w:val="5A0D30B4"/>
    <w:rsid w:val="5A2A3F59"/>
    <w:rsid w:val="5A483FF8"/>
    <w:rsid w:val="5B0C693A"/>
    <w:rsid w:val="5B1E3B4B"/>
    <w:rsid w:val="5B3429A4"/>
    <w:rsid w:val="5B7928AC"/>
    <w:rsid w:val="5B9C5C45"/>
    <w:rsid w:val="5C0C1983"/>
    <w:rsid w:val="5C146507"/>
    <w:rsid w:val="5C8556D4"/>
    <w:rsid w:val="5C9C6DF2"/>
    <w:rsid w:val="5C9D087A"/>
    <w:rsid w:val="5D062EED"/>
    <w:rsid w:val="5D1458EA"/>
    <w:rsid w:val="5D35760E"/>
    <w:rsid w:val="5D5840D6"/>
    <w:rsid w:val="5D8A2234"/>
    <w:rsid w:val="5DA37A9B"/>
    <w:rsid w:val="5DE96312"/>
    <w:rsid w:val="5E334000"/>
    <w:rsid w:val="5E69296F"/>
    <w:rsid w:val="5ED50225"/>
    <w:rsid w:val="5F1F0240"/>
    <w:rsid w:val="5F562BF3"/>
    <w:rsid w:val="603F5402"/>
    <w:rsid w:val="60603B12"/>
    <w:rsid w:val="60861E07"/>
    <w:rsid w:val="60B0413F"/>
    <w:rsid w:val="60D818B2"/>
    <w:rsid w:val="614C422E"/>
    <w:rsid w:val="615A0A76"/>
    <w:rsid w:val="619135C2"/>
    <w:rsid w:val="621C7880"/>
    <w:rsid w:val="628A4E55"/>
    <w:rsid w:val="6295412E"/>
    <w:rsid w:val="62D04AAA"/>
    <w:rsid w:val="63381C06"/>
    <w:rsid w:val="64037383"/>
    <w:rsid w:val="64126E1E"/>
    <w:rsid w:val="642E2243"/>
    <w:rsid w:val="6469630A"/>
    <w:rsid w:val="648B4CC0"/>
    <w:rsid w:val="64A15589"/>
    <w:rsid w:val="64A2179B"/>
    <w:rsid w:val="654B7F44"/>
    <w:rsid w:val="65F77B57"/>
    <w:rsid w:val="65FF3AA9"/>
    <w:rsid w:val="660031E4"/>
    <w:rsid w:val="660F3D1F"/>
    <w:rsid w:val="66152ACA"/>
    <w:rsid w:val="663250C1"/>
    <w:rsid w:val="66945949"/>
    <w:rsid w:val="66BF5DFC"/>
    <w:rsid w:val="66EF5BAF"/>
    <w:rsid w:val="675A157F"/>
    <w:rsid w:val="677909F1"/>
    <w:rsid w:val="67F91D07"/>
    <w:rsid w:val="683F44C5"/>
    <w:rsid w:val="68B44D24"/>
    <w:rsid w:val="696D41C4"/>
    <w:rsid w:val="69BF1317"/>
    <w:rsid w:val="69ED05F9"/>
    <w:rsid w:val="6B263ACF"/>
    <w:rsid w:val="6B73602A"/>
    <w:rsid w:val="6B8B6CF1"/>
    <w:rsid w:val="6BDF6CC4"/>
    <w:rsid w:val="6C1660AA"/>
    <w:rsid w:val="6C234574"/>
    <w:rsid w:val="6C4142CA"/>
    <w:rsid w:val="6D77157D"/>
    <w:rsid w:val="6E231488"/>
    <w:rsid w:val="6E7E2016"/>
    <w:rsid w:val="6F0452B4"/>
    <w:rsid w:val="6F4C6B46"/>
    <w:rsid w:val="706611F5"/>
    <w:rsid w:val="70905002"/>
    <w:rsid w:val="70BB7C71"/>
    <w:rsid w:val="713A786B"/>
    <w:rsid w:val="717D0E42"/>
    <w:rsid w:val="718638D1"/>
    <w:rsid w:val="719F75B5"/>
    <w:rsid w:val="71B400B8"/>
    <w:rsid w:val="71BF5D6D"/>
    <w:rsid w:val="72516F6C"/>
    <w:rsid w:val="72EF1566"/>
    <w:rsid w:val="73412F53"/>
    <w:rsid w:val="73437FCE"/>
    <w:rsid w:val="73B30FC6"/>
    <w:rsid w:val="74592D34"/>
    <w:rsid w:val="748443E4"/>
    <w:rsid w:val="74D15BFB"/>
    <w:rsid w:val="74D77289"/>
    <w:rsid w:val="74F952E5"/>
    <w:rsid w:val="753F15A0"/>
    <w:rsid w:val="75483F2B"/>
    <w:rsid w:val="75A628C9"/>
    <w:rsid w:val="75B36462"/>
    <w:rsid w:val="76065B98"/>
    <w:rsid w:val="763F7413"/>
    <w:rsid w:val="76861D4C"/>
    <w:rsid w:val="76B27622"/>
    <w:rsid w:val="77740E18"/>
    <w:rsid w:val="77FA6770"/>
    <w:rsid w:val="780A371A"/>
    <w:rsid w:val="781101C0"/>
    <w:rsid w:val="7824373B"/>
    <w:rsid w:val="7831103D"/>
    <w:rsid w:val="784521A0"/>
    <w:rsid w:val="786755ED"/>
    <w:rsid w:val="788D1579"/>
    <w:rsid w:val="79156F08"/>
    <w:rsid w:val="79220BB1"/>
    <w:rsid w:val="79936676"/>
    <w:rsid w:val="79A52F07"/>
    <w:rsid w:val="7A6F2A3A"/>
    <w:rsid w:val="7A8A0B42"/>
    <w:rsid w:val="7A93439E"/>
    <w:rsid w:val="7B541151"/>
    <w:rsid w:val="7B851976"/>
    <w:rsid w:val="7B9A12F6"/>
    <w:rsid w:val="7BBB15F0"/>
    <w:rsid w:val="7BD4353D"/>
    <w:rsid w:val="7BE772BD"/>
    <w:rsid w:val="7C07A0F5"/>
    <w:rsid w:val="7C0E057E"/>
    <w:rsid w:val="7C5311B3"/>
    <w:rsid w:val="7CDB7433"/>
    <w:rsid w:val="7D0F22FE"/>
    <w:rsid w:val="7D460711"/>
    <w:rsid w:val="7D717185"/>
    <w:rsid w:val="7D7635FF"/>
    <w:rsid w:val="7D8111E0"/>
    <w:rsid w:val="7D8A36E2"/>
    <w:rsid w:val="7DB10E50"/>
    <w:rsid w:val="7DBA173E"/>
    <w:rsid w:val="7E172803"/>
    <w:rsid w:val="7EC13FAE"/>
    <w:rsid w:val="7F152E80"/>
    <w:rsid w:val="7F207CC7"/>
    <w:rsid w:val="7F3D3C2E"/>
    <w:rsid w:val="7F631961"/>
    <w:rsid w:val="7F770BAF"/>
    <w:rsid w:val="7FA92E56"/>
    <w:rsid w:val="ADB3EDF9"/>
    <w:rsid w:val="B59DAF38"/>
    <w:rsid w:val="BFBAAF01"/>
    <w:rsid w:val="D6FDEFC2"/>
    <w:rsid w:val="DFDE7D33"/>
    <w:rsid w:val="FD7EF2D2"/>
    <w:rsid w:val="FDF5A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Times New Roman" w:cs="Times New Roman"/>
      <w:sz w:val="24"/>
      <w:szCs w:val="24"/>
      <w:lang w:val="en-GB" w:eastAsia="zh-CN" w:bidi="ar-SA"/>
    </w:rPr>
  </w:style>
  <w:style w:type="paragraph" w:styleId="2">
    <w:name w:val="heading 1"/>
    <w:basedOn w:val="1"/>
    <w:next w:val="1"/>
    <w:autoRedefine/>
    <w:qFormat/>
    <w:uiPriority w:val="9"/>
    <w:pPr>
      <w:spacing w:beforeAutospacing="1" w:afterAutospacing="1"/>
      <w:outlineLvl w:val="0"/>
    </w:pPr>
    <w:rPr>
      <w:rFonts w:hint="eastAsia" w:ascii="宋体" w:hAnsi="宋体" w:eastAsia="宋体"/>
      <w:b/>
      <w:bCs/>
      <w:kern w:val="36"/>
      <w:sz w:val="48"/>
      <w:szCs w:val="48"/>
      <w:lang w:val="en-US"/>
    </w:rPr>
  </w:style>
  <w:style w:type="paragraph" w:styleId="3">
    <w:name w:val="heading 2"/>
    <w:basedOn w:val="1"/>
    <w:next w:val="1"/>
    <w:unhideWhenUsed/>
    <w:qFormat/>
    <w:uiPriority w:val="9"/>
    <w:pPr>
      <w:keepNext/>
      <w:keepLines/>
      <w:spacing w:line="560" w:lineRule="exact"/>
      <w:outlineLvl w:val="1"/>
    </w:pPr>
    <w:rPr>
      <w:rFonts w:ascii="方正黑体简体" w:hAnsi="方正黑体简体" w:eastAsia="方正黑体简体"/>
      <w:sz w:val="32"/>
      <w:szCs w:val="22"/>
    </w:rPr>
  </w:style>
  <w:style w:type="paragraph" w:styleId="4">
    <w:name w:val="heading 3"/>
    <w:basedOn w:val="1"/>
    <w:next w:val="1"/>
    <w:link w:val="20"/>
    <w:unhideWhenUsed/>
    <w:qFormat/>
    <w:uiPriority w:val="9"/>
    <w:pPr>
      <w:keepNext/>
      <w:keepLines/>
      <w:tabs>
        <w:tab w:val="left" w:pos="0"/>
      </w:tabs>
      <w:spacing w:line="560" w:lineRule="exact"/>
      <w:outlineLvl w:val="2"/>
    </w:pPr>
    <w:rPr>
      <w:rFonts w:ascii="方正楷体简体" w:hAnsi="方正楷体简体" w:eastAsia="方正楷体简体"/>
      <w:sz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autoRedefine/>
    <w:semiHidden/>
    <w:unhideWhenUsed/>
    <w:qFormat/>
    <w:uiPriority w:val="99"/>
  </w:style>
  <w:style w:type="paragraph" w:styleId="6">
    <w:name w:val="footer"/>
    <w:basedOn w:val="1"/>
    <w:link w:val="16"/>
    <w:autoRedefine/>
    <w:unhideWhenUsed/>
    <w:qFormat/>
    <w:uiPriority w:val="99"/>
    <w:pPr>
      <w:widowControl w:val="0"/>
      <w:tabs>
        <w:tab w:val="center" w:pos="4153"/>
        <w:tab w:val="right" w:pos="8306"/>
      </w:tabs>
      <w:snapToGrid w:val="0"/>
    </w:pPr>
    <w:rPr>
      <w:rFonts w:asciiTheme="minorHAnsi" w:hAnsiTheme="minorHAnsi" w:eastAsiaTheme="minorEastAsia" w:cstheme="minorBidi"/>
      <w:kern w:val="2"/>
      <w:sz w:val="18"/>
      <w:szCs w:val="18"/>
      <w:lang w:val="en-US"/>
    </w:rPr>
  </w:style>
  <w:style w:type="paragraph" w:styleId="7">
    <w:name w:val="header"/>
    <w:basedOn w:val="1"/>
    <w:link w:val="15"/>
    <w:autoRedefine/>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lang w:val="en-US"/>
    </w:rPr>
  </w:style>
  <w:style w:type="paragraph" w:styleId="8">
    <w:name w:val="Normal (Web)"/>
    <w:basedOn w:val="1"/>
    <w:autoRedefine/>
    <w:unhideWhenUsed/>
    <w:qFormat/>
    <w:uiPriority w:val="99"/>
    <w:pPr>
      <w:spacing w:before="100" w:beforeAutospacing="1" w:after="100" w:afterAutospacing="1"/>
    </w:pPr>
    <w:rPr>
      <w:rFonts w:ascii="宋体" w:hAnsi="宋体" w:eastAsia="宋体" w:cs="宋体"/>
    </w:rPr>
  </w:style>
  <w:style w:type="character" w:styleId="11">
    <w:name w:val="Strong"/>
    <w:autoRedefine/>
    <w:qFormat/>
    <w:uiPriority w:val="22"/>
    <w:rPr>
      <w:b/>
      <w:bCs/>
    </w:rPr>
  </w:style>
  <w:style w:type="character" w:styleId="12">
    <w:name w:val="FollowedHyperlink"/>
    <w:basedOn w:val="10"/>
    <w:autoRedefine/>
    <w:semiHidden/>
    <w:unhideWhenUsed/>
    <w:qFormat/>
    <w:uiPriority w:val="99"/>
    <w:rPr>
      <w:color w:val="954F72" w:themeColor="followedHyperlink"/>
      <w:u w:val="single"/>
      <w14:textFill>
        <w14:solidFill>
          <w14:schemeClr w14:val="folHlink"/>
        </w14:solidFill>
      </w14:textFill>
    </w:rPr>
  </w:style>
  <w:style w:type="character" w:styleId="13">
    <w:name w:val="Emphasis"/>
    <w:basedOn w:val="10"/>
    <w:autoRedefine/>
    <w:qFormat/>
    <w:uiPriority w:val="20"/>
    <w:rPr>
      <w:i/>
      <w:iCs/>
    </w:rPr>
  </w:style>
  <w:style w:type="character" w:styleId="14">
    <w:name w:val="Hyperlink"/>
    <w:basedOn w:val="10"/>
    <w:autoRedefine/>
    <w:unhideWhenUsed/>
    <w:qFormat/>
    <w:uiPriority w:val="99"/>
    <w:rPr>
      <w:color w:val="0563C1" w:themeColor="hyperlink"/>
      <w:u w:val="single"/>
      <w14:textFill>
        <w14:solidFill>
          <w14:schemeClr w14:val="hlink"/>
        </w14:solidFill>
      </w14:textFill>
    </w:rPr>
  </w:style>
  <w:style w:type="character" w:customStyle="1" w:styleId="15">
    <w:name w:val="页眉 字符"/>
    <w:basedOn w:val="10"/>
    <w:link w:val="7"/>
    <w:autoRedefine/>
    <w:qFormat/>
    <w:uiPriority w:val="99"/>
    <w:rPr>
      <w:sz w:val="18"/>
      <w:szCs w:val="18"/>
    </w:rPr>
  </w:style>
  <w:style w:type="character" w:customStyle="1" w:styleId="16">
    <w:name w:val="页脚 字符"/>
    <w:basedOn w:val="10"/>
    <w:link w:val="6"/>
    <w:autoRedefine/>
    <w:qFormat/>
    <w:uiPriority w:val="99"/>
    <w:rPr>
      <w:sz w:val="18"/>
      <w:szCs w:val="18"/>
    </w:rPr>
  </w:style>
  <w:style w:type="character" w:customStyle="1" w:styleId="17">
    <w:name w:val="未处理的提及1"/>
    <w:basedOn w:val="10"/>
    <w:autoRedefine/>
    <w:semiHidden/>
    <w:unhideWhenUsed/>
    <w:qFormat/>
    <w:uiPriority w:val="99"/>
    <w:rPr>
      <w:color w:val="605E5C"/>
      <w:shd w:val="clear" w:color="auto" w:fill="E1DFDD"/>
    </w:rPr>
  </w:style>
  <w:style w:type="paragraph" w:styleId="18">
    <w:name w:val="List Paragraph"/>
    <w:basedOn w:val="1"/>
    <w:autoRedefine/>
    <w:qFormat/>
    <w:uiPriority w:val="34"/>
    <w:pPr>
      <w:ind w:firstLine="420" w:firstLineChars="200"/>
    </w:pPr>
  </w:style>
  <w:style w:type="character" w:customStyle="1" w:styleId="19">
    <w:name w:val="未处理的提及2"/>
    <w:basedOn w:val="10"/>
    <w:semiHidden/>
    <w:unhideWhenUsed/>
    <w:qFormat/>
    <w:uiPriority w:val="99"/>
    <w:rPr>
      <w:color w:val="605E5C"/>
      <w:shd w:val="clear" w:color="auto" w:fill="E1DFDD"/>
    </w:rPr>
  </w:style>
  <w:style w:type="character" w:customStyle="1" w:styleId="20">
    <w:name w:val="标题 3 字符"/>
    <w:link w:val="4"/>
    <w:autoRedefine/>
    <w:qFormat/>
    <w:uiPriority w:val="9"/>
    <w:rPr>
      <w:rFonts w:ascii="方正楷体简体" w:hAnsi="方正楷体简体" w:eastAsia="方正楷体简体"/>
      <w:sz w:val="32"/>
    </w:rPr>
  </w:style>
  <w:style w:type="table" w:customStyle="1" w:styleId="21">
    <w:name w:val="Table Normal"/>
    <w:autoRedefine/>
    <w:semiHidden/>
    <w:unhideWhenUsed/>
    <w:qFormat/>
    <w:uiPriority w:val="0"/>
    <w:tblPr>
      <w:tblCellMar>
        <w:top w:w="0" w:type="dxa"/>
        <w:left w:w="0" w:type="dxa"/>
        <w:bottom w:w="0" w:type="dxa"/>
        <w:right w:w="0" w:type="dxa"/>
      </w:tblCellMar>
    </w:tblPr>
  </w:style>
  <w:style w:type="character" w:customStyle="1" w:styleId="22">
    <w:name w:val="未处理的提及3"/>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3988</Words>
  <Characters>4102</Characters>
  <Lines>29</Lines>
  <Paragraphs>8</Paragraphs>
  <TotalTime>0</TotalTime>
  <ScaleCrop>false</ScaleCrop>
  <LinksUpToDate>false</LinksUpToDate>
  <CharactersWithSpaces>4102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2024-09-25T01:19:00Z</dcterms:created>
  <dc:creator>张 斌</dc:creator>
  <cp:lastModifiedBy>金阳</cp:lastModifiedBy>
  <cp:lastPrinted>2023-02-10T11:47:00Z</cp:lastPrinted>
  <dcterms:modified xsi:type="dcterms:W3CDTF">2024-09-25T08:50:47Z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96B2DA85D3EF44878CA2308EF2077766</vt:lpwstr>
  </property>
</Properties>
</file>